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B4833" w14:textId="77777777" w:rsidR="0042280C" w:rsidRPr="00AF30AF" w:rsidRDefault="0042280C" w:rsidP="0042280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Sylfaen" w:eastAsia="Calibri" w:hAnsi="Sylfaen" w:cs="Sylfaen"/>
          <w:b/>
          <w:bCs/>
          <w:sz w:val="28"/>
          <w:szCs w:val="28"/>
          <w:lang w:val="hy-AM"/>
        </w:rPr>
      </w:pPr>
      <w:r w:rsidRPr="00AF30AF">
        <w:rPr>
          <w:rFonts w:ascii="Sylfaen" w:eastAsia="Calibri" w:hAnsi="Sylfaen" w:cs="Times New Roman"/>
          <w:b/>
          <w:bCs/>
          <w:sz w:val="28"/>
          <w:szCs w:val="28"/>
          <w:lang w:val="hy-AM"/>
        </w:rPr>
        <w:t>ՏԵՂԵԿԱՆՔ</w:t>
      </w:r>
      <w:r w:rsidRPr="00AF30AF">
        <w:rPr>
          <w:rFonts w:ascii="Sylfaen" w:eastAsia="Calibri" w:hAnsi="Sylfaen" w:cs="Sylfaen"/>
          <w:b/>
          <w:bCs/>
          <w:sz w:val="28"/>
          <w:szCs w:val="28"/>
          <w:lang w:val="hy-AM"/>
        </w:rPr>
        <w:t xml:space="preserve"> - </w:t>
      </w:r>
      <w:r w:rsidRPr="00AF30AF">
        <w:rPr>
          <w:rFonts w:ascii="Sylfaen" w:eastAsia="Calibri" w:hAnsi="Sylfaen" w:cs="Times New Roman"/>
          <w:b/>
          <w:bCs/>
          <w:sz w:val="28"/>
          <w:szCs w:val="28"/>
          <w:lang w:val="hy-AM"/>
        </w:rPr>
        <w:t>ՀԻՄՆԱՎՈՐՈՒՄ</w:t>
      </w:r>
    </w:p>
    <w:p w14:paraId="1D4D8F11" w14:textId="77777777" w:rsidR="0042280C" w:rsidRPr="00AF30AF" w:rsidRDefault="0042280C" w:rsidP="0042280C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AF30AF">
        <w:rPr>
          <w:rFonts w:ascii="Sylfaen" w:hAnsi="Sylfaen"/>
          <w:b/>
          <w:bCs/>
          <w:sz w:val="24"/>
          <w:szCs w:val="24"/>
          <w:lang w:val="hy-AM"/>
        </w:rPr>
        <w:t xml:space="preserve">ԱՐԱԳԱԾԱՎԱՆ ԲՆԱԿԱՎԱՅՐԻ ՎԱՐՉԱԿԱՆ ՏԱՐԱԾՔՈՒՄ ԳՏՆՎՈՂ ԱՐԱԳԱԾԻ ՊԵՌԼԻՏՆԵՐԻ ՀԱՆՔԱՎԱՅՐԻ </w:t>
      </w:r>
      <w:r w:rsidRPr="00AF30AF">
        <w:rPr>
          <w:rFonts w:ascii="Sylfaen" w:hAnsi="Sylfaen" w:cs="Times New Roman"/>
          <w:b/>
          <w:bCs/>
          <w:sz w:val="24"/>
          <w:szCs w:val="24"/>
          <w:lang w:val="hy-AM"/>
        </w:rPr>
        <w:t>ԸՆԴԵՐՔՕ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Գ</w:t>
      </w:r>
      <w:r w:rsidRPr="00AF30AF">
        <w:rPr>
          <w:rFonts w:ascii="Sylfaen" w:hAnsi="Sylfaen" w:cs="Times New Roman"/>
          <w:b/>
          <w:bCs/>
          <w:sz w:val="24"/>
          <w:szCs w:val="24"/>
          <w:lang w:val="hy-AM"/>
        </w:rPr>
        <w:t>ՏԱԳՈՐԾՄԱՆ</w:t>
      </w:r>
      <w:r w:rsidRPr="00AF30AF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AF30AF">
        <w:rPr>
          <w:rFonts w:ascii="Sylfaen" w:hAnsi="Sylfaen" w:cs="Times New Roman"/>
          <w:b/>
          <w:bCs/>
          <w:sz w:val="24"/>
          <w:szCs w:val="24"/>
          <w:lang w:val="hy-AM"/>
        </w:rPr>
        <w:t>ԻՐԱՎՈՒՆՔԻ</w:t>
      </w:r>
      <w:r w:rsidRPr="00AF30AF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AF30AF">
        <w:rPr>
          <w:rFonts w:ascii="Sylfaen" w:hAnsi="Sylfaen" w:cs="Times New Roman"/>
          <w:b/>
          <w:bCs/>
          <w:sz w:val="24"/>
          <w:szCs w:val="24"/>
          <w:lang w:val="hy-AM"/>
        </w:rPr>
        <w:t>ԹՈՒՅԼՏՎՈՒԹՅԱՆ</w:t>
      </w:r>
      <w:r w:rsidRPr="00AF30AF">
        <w:rPr>
          <w:rFonts w:ascii="Sylfaen" w:hAnsi="Sylfaen"/>
          <w:b/>
          <w:bCs/>
          <w:sz w:val="24"/>
          <w:szCs w:val="24"/>
          <w:lang w:val="hy-AM"/>
        </w:rPr>
        <w:t xml:space="preserve"> ՆԱԽԱՁԵՌՆՈՒԹՅԱՆ  ՎԵՐԱԲԵՐՅԱԼ  «ՄԱՐՈՒԹՄԱՆ»  ՍՊ ԸՆԿԵՐՈՒԹՅԱՆԸ ՆԱԽՆԱԿԱՆ ՀԱՄԱՁԱՅՆՈՒԹՅՈՒՆ ՏԱԼՈՒ </w:t>
      </w:r>
      <w:r w:rsidRPr="00AF30AF">
        <w:rPr>
          <w:rFonts w:ascii="Sylfaen" w:eastAsia="Calibri" w:hAnsi="Sylfaen" w:cs="Times New Roman"/>
          <w:b/>
          <w:sz w:val="24"/>
          <w:szCs w:val="24"/>
          <w:lang w:val="hy-AM"/>
        </w:rPr>
        <w:t>ՎԵՐԱԲԵՐՅԱԼ</w:t>
      </w:r>
    </w:p>
    <w:p w14:paraId="43763E0A" w14:textId="77777777" w:rsidR="0042280C" w:rsidRPr="006C27A6" w:rsidRDefault="0042280C" w:rsidP="0042280C">
      <w:pPr>
        <w:shd w:val="clear" w:color="auto" w:fill="FFFFFF"/>
        <w:spacing w:before="240" w:after="0" w:line="240" w:lineRule="auto"/>
        <w:jc w:val="center"/>
        <w:rPr>
          <w:rFonts w:ascii="Sylfaen" w:eastAsia="Calibri" w:hAnsi="Sylfaen" w:cs="Times New Roman"/>
          <w:b/>
          <w:lang w:val="hy-AM"/>
        </w:rPr>
      </w:pPr>
    </w:p>
    <w:p w14:paraId="2A36EEAF" w14:textId="77777777" w:rsidR="0042280C" w:rsidRPr="006C27A6" w:rsidRDefault="0042280C" w:rsidP="0042280C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6C27A6">
        <w:rPr>
          <w:rFonts w:ascii="Sylfaen" w:eastAsia="Calibri" w:hAnsi="Sylfaen" w:cs="Sylfaen"/>
          <w:lang w:val="hy-AM"/>
        </w:rPr>
        <w:t xml:space="preserve">      </w:t>
      </w:r>
      <w:r w:rsidRPr="006C27A6">
        <w:rPr>
          <w:rFonts w:ascii="Sylfaen" w:eastAsia="Calibri" w:hAnsi="Sylfaen" w:cs="Times New Roman"/>
          <w:lang w:val="hy-AM"/>
        </w:rPr>
        <w:t>Թալին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 xml:space="preserve">համայնքի ավագանու քննարկմանը ներկայացվող որոշման նախագիծը մշակվել է </w:t>
      </w:r>
      <w:r w:rsidRPr="006C27A6">
        <w:rPr>
          <w:rFonts w:ascii="Sylfaen" w:hAnsi="Sylfaen" w:cs="Times New Roman"/>
          <w:color w:val="333333"/>
          <w:shd w:val="clear" w:color="auto" w:fill="FFFFFF"/>
          <w:lang w:val="hy-AM"/>
        </w:rPr>
        <w:t>ՀՀ</w:t>
      </w:r>
      <w:r w:rsidRPr="006C27A6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Pr="006C27A6">
        <w:rPr>
          <w:rFonts w:ascii="Sylfaen" w:hAnsi="Sylfaen" w:cs="Times New Roman"/>
          <w:color w:val="333333"/>
          <w:shd w:val="clear" w:color="auto" w:fill="FFFFFF"/>
          <w:lang w:val="hy-AM"/>
        </w:rPr>
        <w:t>Կառավարության</w:t>
      </w:r>
      <w:r w:rsidRPr="006C27A6">
        <w:rPr>
          <w:rFonts w:ascii="Sylfaen" w:hAnsi="Sylfaen"/>
          <w:color w:val="333333"/>
          <w:shd w:val="clear" w:color="auto" w:fill="FFFFFF"/>
          <w:lang w:val="hy-AM"/>
        </w:rPr>
        <w:t xml:space="preserve"> 2014 </w:t>
      </w:r>
      <w:r w:rsidRPr="006C27A6">
        <w:rPr>
          <w:rFonts w:ascii="Sylfaen" w:hAnsi="Sylfaen" w:cs="Times New Roman"/>
          <w:color w:val="333333"/>
          <w:shd w:val="clear" w:color="auto" w:fill="FFFFFF"/>
          <w:lang w:val="hy-AM"/>
        </w:rPr>
        <w:t>թվականի</w:t>
      </w:r>
      <w:r w:rsidRPr="006C27A6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Pr="006C27A6">
        <w:rPr>
          <w:rFonts w:ascii="Sylfaen" w:hAnsi="Sylfaen" w:cs="Times New Roman"/>
          <w:color w:val="333333"/>
          <w:shd w:val="clear" w:color="auto" w:fill="FFFFFF"/>
          <w:lang w:val="hy-AM"/>
        </w:rPr>
        <w:t>նոյեմբերի</w:t>
      </w:r>
      <w:r w:rsidRPr="006C27A6">
        <w:rPr>
          <w:rFonts w:ascii="Sylfaen" w:hAnsi="Sylfaen"/>
          <w:color w:val="333333"/>
          <w:shd w:val="clear" w:color="auto" w:fill="FFFFFF"/>
          <w:lang w:val="hy-AM"/>
        </w:rPr>
        <w:t xml:space="preserve"> 19-</w:t>
      </w:r>
      <w:r w:rsidRPr="006C27A6">
        <w:rPr>
          <w:rFonts w:ascii="Sylfaen" w:hAnsi="Sylfaen" w:cs="Times New Roman"/>
          <w:color w:val="333333"/>
          <w:shd w:val="clear" w:color="auto" w:fill="FFFFFF"/>
          <w:lang w:val="hy-AM"/>
        </w:rPr>
        <w:t>ի</w:t>
      </w:r>
      <w:r w:rsidRPr="006C27A6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Pr="006C27A6">
        <w:rPr>
          <w:rFonts w:ascii="Sylfaen" w:hAnsi="Sylfaen" w:cs="Times New Roman"/>
          <w:color w:val="333333"/>
          <w:shd w:val="clear" w:color="auto" w:fill="FFFFFF"/>
          <w:lang w:val="hy-AM"/>
        </w:rPr>
        <w:t>թիվ</w:t>
      </w:r>
      <w:r w:rsidRPr="006C27A6">
        <w:rPr>
          <w:rFonts w:ascii="Sylfaen" w:hAnsi="Sylfaen"/>
          <w:color w:val="333333"/>
          <w:shd w:val="clear" w:color="auto" w:fill="FFFFFF"/>
          <w:lang w:val="hy-AM"/>
        </w:rPr>
        <w:t xml:space="preserve"> 1325-</w:t>
      </w:r>
      <w:r w:rsidRPr="006C27A6">
        <w:rPr>
          <w:rFonts w:ascii="Sylfaen" w:hAnsi="Sylfaen" w:cs="Times New Roman"/>
          <w:color w:val="333333"/>
          <w:shd w:val="clear" w:color="auto" w:fill="FFFFFF"/>
          <w:lang w:val="hy-AM"/>
        </w:rPr>
        <w:t>Ն</w:t>
      </w:r>
      <w:r w:rsidRPr="006C27A6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Pr="006C27A6">
        <w:rPr>
          <w:rFonts w:ascii="Sylfaen" w:hAnsi="Sylfaen" w:cs="Times New Roman"/>
          <w:color w:val="333333"/>
          <w:shd w:val="clear" w:color="auto" w:fill="FFFFFF"/>
          <w:lang w:val="hy-AM"/>
        </w:rPr>
        <w:t>որոշման</w:t>
      </w:r>
      <w:r w:rsidRPr="006C27A6">
        <w:rPr>
          <w:rFonts w:ascii="Sylfaen" w:hAnsi="Sylfaen"/>
          <w:color w:val="333333"/>
          <w:shd w:val="clear" w:color="auto" w:fill="FFFFFF"/>
          <w:lang w:val="hy-AM"/>
        </w:rPr>
        <w:t xml:space="preserve"> 28-</w:t>
      </w:r>
      <w:r w:rsidRPr="006C27A6">
        <w:rPr>
          <w:rFonts w:ascii="Sylfaen" w:hAnsi="Sylfaen" w:cs="Times New Roman"/>
          <w:color w:val="333333"/>
          <w:shd w:val="clear" w:color="auto" w:fill="FFFFFF"/>
          <w:lang w:val="hy-AM"/>
        </w:rPr>
        <w:t>րդ</w:t>
      </w:r>
      <w:r w:rsidRPr="006C27A6">
        <w:rPr>
          <w:rFonts w:ascii="Sylfaen" w:hAnsi="Sylfaen"/>
          <w:color w:val="333333"/>
          <w:shd w:val="clear" w:color="auto" w:fill="FFFFFF"/>
          <w:lang w:val="hy-AM"/>
        </w:rPr>
        <w:t xml:space="preserve"> </w:t>
      </w:r>
      <w:r w:rsidRPr="006C27A6">
        <w:rPr>
          <w:rFonts w:ascii="Sylfaen" w:hAnsi="Sylfaen" w:cs="Times New Roman"/>
          <w:color w:val="333333"/>
          <w:shd w:val="clear" w:color="auto" w:fill="FFFFFF"/>
          <w:lang w:val="hy-AM"/>
        </w:rPr>
        <w:t>կետ</w:t>
      </w:r>
      <w:r w:rsidRPr="006C27A6">
        <w:rPr>
          <w:rFonts w:ascii="Sylfaen" w:hAnsi="Sylfaen" w:cs="Times New Roman"/>
          <w:lang w:val="hy-AM"/>
        </w:rPr>
        <w:t>վ</w:t>
      </w:r>
      <w:r w:rsidRPr="006C27A6">
        <w:rPr>
          <w:rFonts w:ascii="Sylfaen" w:eastAsia="Calibri" w:hAnsi="Sylfaen" w:cs="Times New Roman"/>
          <w:lang w:val="hy-AM"/>
        </w:rPr>
        <w:t xml:space="preserve"> սահմանված կարգավորումների համատեքստում։  </w:t>
      </w:r>
    </w:p>
    <w:p w14:paraId="186F7C61" w14:textId="77777777" w:rsidR="0042280C" w:rsidRPr="006C27A6" w:rsidRDefault="0042280C" w:rsidP="0042280C">
      <w:pPr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</w:p>
    <w:p w14:paraId="08034FB0" w14:textId="77777777" w:rsidR="0042280C" w:rsidRPr="006C27A6" w:rsidRDefault="0042280C" w:rsidP="0042280C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color w:val="000000"/>
          <w:lang w:val="hy-AM"/>
        </w:rPr>
      </w:pPr>
      <w:r w:rsidRPr="006C27A6">
        <w:rPr>
          <w:rFonts w:ascii="Sylfaen" w:eastAsia="Calibri" w:hAnsi="Sylfaen" w:cs="Times New Roman"/>
          <w:b/>
          <w:bCs/>
          <w:lang w:val="hy-AM"/>
        </w:rPr>
        <w:t xml:space="preserve">       Իրավական ակտի ընդունման նպատակը և կարգավորման անհրաժեշտությունը.</w:t>
      </w:r>
    </w:p>
    <w:p w14:paraId="0214BA21" w14:textId="77777777" w:rsidR="0042280C" w:rsidRPr="006C27A6" w:rsidRDefault="0042280C" w:rsidP="0042280C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Times New Roman"/>
          <w:lang w:val="hy-AM"/>
        </w:rPr>
      </w:pPr>
      <w:r w:rsidRPr="006C27A6">
        <w:rPr>
          <w:rFonts w:ascii="Sylfaen" w:eastAsia="Calibri" w:hAnsi="Sylfaen" w:cs="Times New Roman"/>
          <w:lang w:val="hy-AM"/>
        </w:rPr>
        <w:t xml:space="preserve">Համայնքային հողերի նպատակային և արդյունավետ կառավարումն է, իրազեկելով համայնքի ազդակիր բնակչությանը տվյալ տարածքում հետագայում իրականացվելիք բիզնես գործունեության վերաբերյալ </w:t>
      </w:r>
    </w:p>
    <w:p w14:paraId="70353763" w14:textId="77777777" w:rsidR="0042280C" w:rsidRPr="006C27A6" w:rsidRDefault="0042280C" w:rsidP="0042280C">
      <w:pPr>
        <w:autoSpaceDE w:val="0"/>
        <w:autoSpaceDN w:val="0"/>
        <w:adjustRightInd w:val="0"/>
        <w:spacing w:line="276" w:lineRule="auto"/>
        <w:jc w:val="both"/>
        <w:rPr>
          <w:rFonts w:ascii="Sylfaen" w:eastAsia="Calibri" w:hAnsi="Sylfaen" w:cs="Sylfaen"/>
          <w:lang w:val="hy-AM"/>
        </w:rPr>
      </w:pPr>
      <w:r w:rsidRPr="006C27A6">
        <w:rPr>
          <w:rFonts w:ascii="Sylfaen" w:eastAsia="Times New Roman" w:hAnsi="Sylfaen" w:cs="Times New Roman"/>
          <w:lang w:val="hy-AM" w:eastAsia="ru-RU"/>
        </w:rPr>
        <w:t xml:space="preserve">     Ելնելով վերոգրյալից համայնքի ավագանու քննարկմանն է ներկայացվում </w:t>
      </w:r>
      <w:r w:rsidRPr="006C27A6">
        <w:rPr>
          <w:rFonts w:ascii="Sylfaen" w:hAnsi="Sylfaen"/>
          <w:lang w:val="hy-AM"/>
        </w:rPr>
        <w:t xml:space="preserve">Արագածավան բնակավայրի վարչական տարածքում գտնվող Արագածի պեռլիտների հանքավայրի </w:t>
      </w:r>
      <w:r w:rsidRPr="006C27A6">
        <w:rPr>
          <w:rFonts w:ascii="Sylfaen" w:hAnsi="Sylfaen" w:cs="Times New Roman"/>
          <w:lang w:val="hy-AM"/>
        </w:rPr>
        <w:t>ընդերքօքտագործման</w:t>
      </w:r>
      <w:r w:rsidRPr="006C27A6">
        <w:rPr>
          <w:rFonts w:ascii="Sylfaen" w:hAnsi="Sylfaen"/>
          <w:lang w:val="hy-AM"/>
        </w:rPr>
        <w:t xml:space="preserve"> </w:t>
      </w:r>
      <w:r w:rsidRPr="006C27A6">
        <w:rPr>
          <w:rFonts w:ascii="Sylfaen" w:hAnsi="Sylfaen" w:cs="Times New Roman"/>
          <w:lang w:val="hy-AM"/>
        </w:rPr>
        <w:t>իրավունքի</w:t>
      </w:r>
      <w:r w:rsidRPr="006C27A6">
        <w:rPr>
          <w:rFonts w:ascii="Sylfaen" w:hAnsi="Sylfaen"/>
          <w:lang w:val="hy-AM"/>
        </w:rPr>
        <w:t xml:space="preserve"> </w:t>
      </w:r>
      <w:r w:rsidRPr="006C27A6">
        <w:rPr>
          <w:rFonts w:ascii="Sylfaen" w:hAnsi="Sylfaen" w:cs="Times New Roman"/>
          <w:lang w:val="hy-AM"/>
        </w:rPr>
        <w:t>թույլտվության</w:t>
      </w:r>
      <w:r w:rsidRPr="006C27A6">
        <w:rPr>
          <w:rFonts w:ascii="Sylfaen" w:hAnsi="Sylfaen"/>
          <w:lang w:val="hy-AM"/>
        </w:rPr>
        <w:t xml:space="preserve"> նախաձեռնության  վերաբերյալ  «ՄԱՐՈՒԹՄԱՆ»  ՍՊ ընկերությանը նախնական համաձայնություն տալու </w:t>
      </w:r>
      <w:r w:rsidRPr="006C27A6">
        <w:rPr>
          <w:rFonts w:ascii="Sylfaen" w:eastAsia="Calibri" w:hAnsi="Sylfaen" w:cs="Times New Roman"/>
          <w:lang w:val="hy-AM"/>
        </w:rPr>
        <w:t>վերաբերյալ ավագանու որոշման նախագիծը</w:t>
      </w:r>
      <w:r w:rsidRPr="006C27A6">
        <w:rPr>
          <w:rFonts w:ascii="Sylfaen" w:eastAsia="Times New Roman" w:hAnsi="Sylfaen" w:cs="Times New Roman"/>
          <w:lang w:val="hy-AM" w:eastAsia="ru-RU"/>
        </w:rPr>
        <w:t xml:space="preserve">:  </w:t>
      </w:r>
    </w:p>
    <w:p w14:paraId="449AC209" w14:textId="77777777" w:rsidR="0042280C" w:rsidRPr="006C27A6" w:rsidRDefault="0042280C" w:rsidP="0042280C">
      <w:pPr>
        <w:shd w:val="clear" w:color="auto" w:fill="FFFFFF"/>
        <w:spacing w:before="240" w:after="0" w:line="276" w:lineRule="auto"/>
        <w:jc w:val="both"/>
        <w:textAlignment w:val="baseline"/>
        <w:rPr>
          <w:rFonts w:ascii="Sylfaen" w:eastAsia="Calibri" w:hAnsi="Sylfaen" w:cs="Times New Roman"/>
          <w:lang w:val="hy-AM"/>
        </w:rPr>
      </w:pPr>
      <w:r w:rsidRPr="006C27A6">
        <w:rPr>
          <w:rFonts w:ascii="Sylfaen" w:eastAsia="Calibri" w:hAnsi="Sylfaen" w:cs="Times New Roman"/>
          <w:b/>
          <w:bCs/>
          <w:lang w:val="hy-AM"/>
        </w:rPr>
        <w:t xml:space="preserve">    Իրավական ակտի</w:t>
      </w:r>
      <w:r w:rsidRPr="006C27A6">
        <w:rPr>
          <w:rFonts w:ascii="Sylfaen" w:eastAsia="Calibri" w:hAnsi="Sylfaen" w:cs="Courier New"/>
          <w:b/>
          <w:bCs/>
          <w:lang w:val="hy-AM"/>
        </w:rPr>
        <w:t> </w:t>
      </w:r>
      <w:r w:rsidRPr="006C27A6">
        <w:rPr>
          <w:rFonts w:ascii="Sylfaen" w:eastAsia="Calibri" w:hAnsi="Sylfaen" w:cs="Times New Roman"/>
          <w:b/>
          <w:bCs/>
          <w:lang w:val="hy-AM"/>
        </w:rPr>
        <w:t>ընդունման կապակցությամբ այլ իրավական ակտերի ընդունման անհրաժեշտության մասին.</w:t>
      </w:r>
      <w:r w:rsidRPr="006C27A6">
        <w:rPr>
          <w:rFonts w:ascii="Sylfaen" w:eastAsia="Calibri" w:hAnsi="Sylfaen" w:cs="Times New Roman"/>
          <w:b/>
          <w:bCs/>
          <w:lang w:val="hy-AM"/>
        </w:rPr>
        <w:tab/>
      </w:r>
      <w:r w:rsidRPr="006C27A6">
        <w:rPr>
          <w:rFonts w:ascii="Sylfaen" w:eastAsia="Calibri" w:hAnsi="Sylfaen" w:cs="Times New Roman"/>
          <w:b/>
          <w:bCs/>
          <w:lang w:val="hy-AM"/>
        </w:rPr>
        <w:br/>
      </w:r>
      <w:r w:rsidRPr="006C27A6">
        <w:rPr>
          <w:rFonts w:ascii="Sylfaen" w:eastAsia="Calibri" w:hAnsi="Sylfaen" w:cs="Sylfaen"/>
          <w:lang w:val="hy-AM"/>
        </w:rPr>
        <w:t xml:space="preserve">    </w:t>
      </w:r>
      <w:r w:rsidRPr="006C27A6">
        <w:rPr>
          <w:rFonts w:ascii="Sylfaen" w:eastAsia="Calibri" w:hAnsi="Sylfaen" w:cs="Times New Roman"/>
          <w:lang w:val="hy-AM"/>
        </w:rPr>
        <w:t>Ավագանու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որոշման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0012A16D" w14:textId="77777777" w:rsidR="0042280C" w:rsidRPr="006C27A6" w:rsidRDefault="0042280C" w:rsidP="0042280C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lang w:val="hy-AM"/>
        </w:rPr>
      </w:pPr>
      <w:r w:rsidRPr="006C27A6">
        <w:rPr>
          <w:rFonts w:ascii="Sylfaen" w:eastAsia="Calibri" w:hAnsi="Sylfaen" w:cs="Times New Roman"/>
          <w:b/>
          <w:bCs/>
          <w:lang w:val="hy-AM"/>
        </w:rPr>
        <w:t xml:space="preserve">    Իրավական ակտի ընդունման կապակցությամբ</w:t>
      </w:r>
      <w:r w:rsidRPr="006C27A6">
        <w:rPr>
          <w:rFonts w:ascii="Sylfaen" w:eastAsia="Calibri" w:hAnsi="Sylfaen" w:cs="Calibri"/>
          <w:b/>
          <w:bCs/>
          <w:lang w:val="hy-AM"/>
        </w:rPr>
        <w:t> </w:t>
      </w:r>
      <w:r w:rsidRPr="006C27A6">
        <w:rPr>
          <w:rFonts w:ascii="Sylfaen" w:eastAsia="Calibri" w:hAnsi="Sylfaen" w:cs="Times New Roma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6C27A6">
        <w:rPr>
          <w:rFonts w:ascii="Sylfaen" w:eastAsia="Calibri" w:hAnsi="Sylfaen" w:cs="Times New Roman"/>
          <w:b/>
          <w:bCs/>
          <w:lang w:val="hy-AM"/>
        </w:rPr>
        <w:tab/>
      </w:r>
      <w:r w:rsidRPr="006C27A6">
        <w:rPr>
          <w:rFonts w:ascii="Sylfaen" w:eastAsia="Calibri" w:hAnsi="Sylfaen" w:cs="Times New Roman"/>
          <w:b/>
          <w:bCs/>
          <w:lang w:val="hy-AM"/>
        </w:rPr>
        <w:br/>
      </w:r>
      <w:r w:rsidRPr="006C27A6">
        <w:rPr>
          <w:rFonts w:ascii="Sylfaen" w:eastAsia="Calibri" w:hAnsi="Sylfaen" w:cs="Sylfaen"/>
          <w:lang w:val="hy-AM"/>
        </w:rPr>
        <w:t xml:space="preserve">     </w:t>
      </w:r>
      <w:r w:rsidRPr="006C27A6">
        <w:rPr>
          <w:rFonts w:ascii="Sylfaen" w:eastAsia="Calibri" w:hAnsi="Sylfaen" w:cs="Times New Roman"/>
          <w:lang w:val="hy-AM"/>
        </w:rPr>
        <w:t>Ավագանու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որոշման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նախագծի ընդունման</w:t>
      </w:r>
      <w:r w:rsidRPr="006C27A6">
        <w:rPr>
          <w:rFonts w:ascii="Sylfaen" w:eastAsia="Calibri" w:hAnsi="Sylfaen" w:cs="Arial AMU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կապակցությամբ</w:t>
      </w:r>
      <w:r w:rsidRPr="006C27A6">
        <w:rPr>
          <w:rFonts w:ascii="Sylfaen" w:eastAsia="Calibri" w:hAnsi="Sylfaen" w:cs="Arial AMU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համայնքի</w:t>
      </w:r>
      <w:r w:rsidRPr="006C27A6">
        <w:rPr>
          <w:rFonts w:ascii="Sylfaen" w:eastAsia="Calibri" w:hAnsi="Sylfaen" w:cs="Arial AMU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բյուջեում</w:t>
      </w:r>
      <w:r w:rsidRPr="006C27A6">
        <w:rPr>
          <w:rFonts w:ascii="Sylfaen" w:eastAsia="Calibri" w:hAnsi="Sylfaen" w:cs="Arial AMU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եկամուտների</w:t>
      </w:r>
      <w:r w:rsidRPr="006C27A6">
        <w:rPr>
          <w:rFonts w:ascii="Sylfaen" w:eastAsia="Calibri" w:hAnsi="Sylfaen" w:cs="Arial AMU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էական</w:t>
      </w:r>
      <w:r w:rsidRPr="006C27A6">
        <w:rPr>
          <w:rFonts w:ascii="Sylfaen" w:eastAsia="Calibri" w:hAnsi="Sylfaen" w:cs="Arial AMU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ավելացում</w:t>
      </w:r>
      <w:r w:rsidRPr="006C27A6">
        <w:rPr>
          <w:rFonts w:ascii="Sylfaen" w:eastAsia="Calibri" w:hAnsi="Sylfaen" w:cs="Arial AMU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է</w:t>
      </w:r>
      <w:r w:rsidRPr="006C27A6">
        <w:rPr>
          <w:rFonts w:ascii="Sylfaen" w:eastAsia="Calibri" w:hAnsi="Sylfaen" w:cs="Arial AMU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նախատեսվում:</w:t>
      </w:r>
    </w:p>
    <w:p w14:paraId="65C77104" w14:textId="77777777" w:rsidR="0042280C" w:rsidRPr="006C27A6" w:rsidRDefault="0042280C" w:rsidP="0042280C">
      <w:pPr>
        <w:shd w:val="clear" w:color="auto" w:fill="FFFFFF"/>
        <w:spacing w:after="0" w:line="276" w:lineRule="auto"/>
        <w:jc w:val="both"/>
        <w:textAlignment w:val="baseline"/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</w:pPr>
      <w:r w:rsidRPr="006C27A6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 w:rsidRPr="006C27A6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ab/>
      </w:r>
    </w:p>
    <w:p w14:paraId="2F479CEB" w14:textId="77777777" w:rsidR="0042280C" w:rsidRPr="006C27A6" w:rsidRDefault="0042280C" w:rsidP="0042280C">
      <w:pPr>
        <w:shd w:val="clear" w:color="auto" w:fill="FFFFFF"/>
        <w:spacing w:after="0" w:line="276" w:lineRule="auto"/>
        <w:jc w:val="both"/>
        <w:textAlignment w:val="baseline"/>
        <w:rPr>
          <w:rFonts w:ascii="Sylfaen" w:eastAsia="Calibri" w:hAnsi="Sylfaen" w:cs="Times New Roman"/>
          <w:color w:val="000000"/>
          <w:shd w:val="clear" w:color="auto" w:fill="FFFFFF"/>
          <w:lang w:val="hy-AM"/>
        </w:rPr>
      </w:pPr>
      <w:r w:rsidRPr="006C27A6">
        <w:rPr>
          <w:rFonts w:ascii="Sylfaen" w:eastAsia="Calibri" w:hAnsi="Sylfaen" w:cs="Times New Roman"/>
          <w:lang w:val="hy-AM"/>
        </w:rPr>
        <w:t xml:space="preserve">  Նախագիծը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կրում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է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անհատական բնույթ</w:t>
      </w:r>
      <w:r w:rsidRPr="006C27A6">
        <w:rPr>
          <w:rFonts w:ascii="Sylfaen" w:eastAsia="Calibri" w:hAnsi="Sylfaen" w:cs="Sylfaen"/>
          <w:lang w:val="hy-AM"/>
        </w:rPr>
        <w:t xml:space="preserve">, </w:t>
      </w:r>
      <w:r w:rsidRPr="006C27A6">
        <w:rPr>
          <w:rFonts w:ascii="Sylfaen" w:eastAsia="Calibri" w:hAnsi="Sylfaen" w:cs="Times New Roman"/>
          <w:lang w:val="hy-AM"/>
        </w:rPr>
        <w:t>քանի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որ</w:t>
      </w:r>
      <w:r w:rsidRPr="006C27A6">
        <w:rPr>
          <w:rFonts w:ascii="Sylfaen" w:eastAsia="Calibri" w:hAnsi="Sylfaen" w:cs="Sylfaen"/>
          <w:lang w:val="hy-AM"/>
        </w:rPr>
        <w:t xml:space="preserve">  </w:t>
      </w:r>
      <w:r w:rsidRPr="006C27A6">
        <w:rPr>
          <w:rFonts w:ascii="Sylfaen" w:eastAsia="Calibri" w:hAnsi="Sylfaen" w:cs="Times New Roman"/>
          <w:lang w:val="hy-AM"/>
        </w:rPr>
        <w:t>պարունակում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է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color w:val="000000"/>
          <w:shd w:val="clear" w:color="auto" w:fill="FFFFFF"/>
          <w:lang w:val="hy-AM"/>
        </w:rPr>
        <w:t xml:space="preserve">վարքագծի կանոն այն անձանց խմբի համար, որոնք ակտն ընդունող մարմնի հետ աշխատանքային հարաբերությունների մեջ են կամ օգտվում են դա ընդունող մարմնի ծառայություններից կամ աշխատանքներից, և </w:t>
      </w:r>
      <w:r w:rsidRPr="006C27A6">
        <w:rPr>
          <w:rFonts w:ascii="Sylfaen" w:eastAsia="Calibri" w:hAnsi="Sylfaen" w:cs="Times New Roman"/>
          <w:lang w:val="hy-AM"/>
        </w:rPr>
        <w:t>ուղղված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է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համայնքում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հանրային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լսումների մասին իրազեկումների վարման կարգը հաստատելուն։ Կարգի ընդունումը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shd w:val="clear" w:color="auto" w:fill="FFFFFF"/>
          <w:lang w:val="hy-AM"/>
        </w:rPr>
        <w:t xml:space="preserve">նպատակ է հետապնդում </w:t>
      </w:r>
      <w:r w:rsidRPr="006C27A6">
        <w:rPr>
          <w:rFonts w:ascii="Sylfaen" w:eastAsia="Calibri" w:hAnsi="Sylfaen" w:cs="Times New Roman"/>
          <w:color w:val="000000"/>
          <w:lang w:val="hy-AM"/>
        </w:rPr>
        <w:t>համայնքի</w:t>
      </w:r>
      <w:r w:rsidRPr="006C27A6">
        <w:rPr>
          <w:rFonts w:ascii="Sylfaen" w:eastAsia="Calibri" w:hAnsi="Sylfaen" w:cs="Times New Roman"/>
          <w:lang w:val="hy-AM"/>
        </w:rPr>
        <w:t xml:space="preserve"> աշխատակազմի մակարդակում կարգավորելու հանրային լսումների մասին իրազեկումների հուսալի և ապահով շրջանառությունը։</w:t>
      </w:r>
    </w:p>
    <w:p w14:paraId="387A7AEE" w14:textId="695BAB26" w:rsidR="003B02EA" w:rsidRPr="0042280C" w:rsidRDefault="0042280C" w:rsidP="0042280C">
      <w:pPr>
        <w:rPr>
          <w:lang w:val="hy-AM"/>
        </w:rPr>
      </w:pPr>
      <w:r w:rsidRPr="006C27A6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 xml:space="preserve">    Իրավական ակտի կիրառման դեպքում ակնկալվող արդյունքը.</w:t>
      </w:r>
      <w:r w:rsidRPr="006C27A6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tab/>
      </w:r>
      <w:r w:rsidRPr="006C27A6">
        <w:rPr>
          <w:rFonts w:ascii="Sylfaen" w:eastAsia="Calibri" w:hAnsi="Sylfaen" w:cs="Times New Roman"/>
          <w:b/>
          <w:bCs/>
          <w:bdr w:val="none" w:sz="0" w:space="0" w:color="auto" w:frame="1"/>
          <w:lang w:val="hy-AM"/>
        </w:rPr>
        <w:br/>
      </w:r>
      <w:r w:rsidRPr="006C27A6">
        <w:rPr>
          <w:rFonts w:ascii="Sylfaen" w:eastAsia="Calibri" w:hAnsi="Sylfaen" w:cs="Times New Roman"/>
          <w:lang w:val="hy-AM"/>
        </w:rPr>
        <w:t xml:space="preserve">    Նախագծի ընդունման արդյունքում ակնկալվում է գործող օրենսդրությամբ նախատեսված պահանջներին համապատասխան ապահովել համայնքում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հանրային</w:t>
      </w:r>
      <w:r w:rsidRPr="006C27A6">
        <w:rPr>
          <w:rFonts w:ascii="Sylfaen" w:eastAsia="Calibri" w:hAnsi="Sylfaen" w:cs="Sylfaen"/>
          <w:lang w:val="hy-AM"/>
        </w:rPr>
        <w:t xml:space="preserve"> </w:t>
      </w:r>
      <w:r w:rsidRPr="006C27A6">
        <w:rPr>
          <w:rFonts w:ascii="Sylfaen" w:eastAsia="Calibri" w:hAnsi="Sylfaen" w:cs="Times New Roman"/>
          <w:lang w:val="hy-AM"/>
        </w:rPr>
        <w:t>լսումների մասին իրազեկումների գործընթացները։</w:t>
      </w:r>
      <w:r w:rsidRPr="006C27A6">
        <w:rPr>
          <w:rFonts w:ascii="Sylfaen" w:eastAsia="Calibri" w:hAnsi="Sylfaen" w:cs="Times New Roman"/>
          <w:lang w:val="hy-AM"/>
        </w:rPr>
        <w:tab/>
      </w:r>
    </w:p>
    <w:sectPr w:rsidR="003B02EA" w:rsidRPr="0042280C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80C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18</cp:revision>
  <cp:lastPrinted>2025-10-20T12:47:00Z</cp:lastPrinted>
  <dcterms:created xsi:type="dcterms:W3CDTF">2025-10-20T10:08:00Z</dcterms:created>
  <dcterms:modified xsi:type="dcterms:W3CDTF">2025-11-19T06:01:00Z</dcterms:modified>
</cp:coreProperties>
</file>