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3F71" w14:textId="77777777" w:rsidR="00963ECD" w:rsidRPr="00A0419C" w:rsidRDefault="00963ECD" w:rsidP="00963ECD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7429602" w14:textId="77777777" w:rsidR="00963ECD" w:rsidRPr="00A0419C" w:rsidRDefault="00963ECD" w:rsidP="00963ECD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081C144" w14:textId="77777777" w:rsidR="00963ECD" w:rsidRPr="00A0419C" w:rsidRDefault="00963ECD" w:rsidP="00963ECD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23C6BDC" wp14:editId="2302B56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7435C" id="Прямая соединительная линия 3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iHop0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F6327F" wp14:editId="34FBF234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15030" id="Прямая соединительная линия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MQLjY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CE00ED2" w14:textId="77777777" w:rsidR="00963ECD" w:rsidRPr="00A0419C" w:rsidRDefault="00963ECD" w:rsidP="00963ECD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AA53BDA" w14:textId="77777777" w:rsidR="00963ECD" w:rsidRPr="00A0419C" w:rsidRDefault="00963ECD" w:rsidP="00963ECD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7FF5C397" w14:textId="77777777" w:rsidR="00963ECD" w:rsidRPr="00A0419C" w:rsidRDefault="00963ECD" w:rsidP="00963ECD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25D728E" w14:textId="77777777" w:rsidR="00963ECD" w:rsidRPr="00A0419C" w:rsidRDefault="00963ECD" w:rsidP="00963ECD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60062AA" w14:textId="77777777" w:rsidR="00963ECD" w:rsidRPr="00A0419C" w:rsidRDefault="00963ECD" w:rsidP="00963ECD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 09 -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7D5EC9F" w14:textId="77777777" w:rsidR="00963ECD" w:rsidRPr="00A0419C" w:rsidRDefault="00963ECD" w:rsidP="00963ECD">
      <w:pPr>
        <w:spacing w:after="0"/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64E379EF" w14:textId="77777777" w:rsidR="00963ECD" w:rsidRPr="00A0419C" w:rsidRDefault="00963ECD" w:rsidP="00963EC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ՀՀ ԱՐԱԳԱԾՈՏՆԻ ՄԱՐԶԻ ԹԱԼԻՆ ՀԱՄԱՅՆՔԻ ԱՐՏԵՆԻ ԳՅՈՒՂՈՒՄ «ԱՐՏԻՆ ԳՐԻՆ ՀԱՈՒՍ» ՍՊԸ-Ի ԿՈՂՄԻՑ ՋԵՐՄՈՑԱՅԻՆ ՏՆՏԵՍՈՒԹՅԱՆ ԿԱՌՈՒՑՄԱՆ ՆԵՐԴՐՈՒՄԱՅԻՆ ԾՐԱԳՐԻՆ ՀԱՎԱՆՈՒԹՅՈՒՆ ՏԱԼՈՒ ՄԱՍԻՆ</w:t>
      </w:r>
    </w:p>
    <w:p w14:paraId="05C9AE81" w14:textId="77777777" w:rsidR="00963ECD" w:rsidRPr="00A0419C" w:rsidRDefault="00963ECD" w:rsidP="00963ECD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</w:p>
    <w:p w14:paraId="253834D3" w14:textId="77777777" w:rsidR="00963ECD" w:rsidRPr="00A0419C" w:rsidRDefault="00963ECD" w:rsidP="00963ECD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784F51B3" w14:textId="77777777" w:rsidR="00963ECD" w:rsidRPr="00A0419C" w:rsidRDefault="00963ECD" w:rsidP="00963ECD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Ղեկավարվելով «Տեղական ինքնակառավարման մասին» ՀՀ օրենքի 18-րդ հոդվածի 1-ին մասի 42-րդ կետով, հիմք ընդունելով համայնքի ղեկավարի առաջարկությունը և «ԱՐՏԻՆ ԳՐԻՆՀԱՈՒՍ» ՍՊԸ-ի կողﬕց ներկայացված ՀՀ Արագածոտնի մարզի Թալին համայնքի Արտենի գյուղում ջերմոցային տնտեսության կառուցմանն առնչվող փաստաթղթերի փաթեթը՝ </w:t>
      </w:r>
    </w:p>
    <w:p w14:paraId="15FE3212" w14:textId="77777777" w:rsidR="00963ECD" w:rsidRPr="00A0419C" w:rsidRDefault="00963ECD" w:rsidP="00963ECD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53D3A1B2" w14:textId="77777777" w:rsidR="00963ECD" w:rsidRPr="00A0419C" w:rsidRDefault="00963ECD" w:rsidP="00963ECD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 xml:space="preserve">1. Տալ համաձայնություն «ԱՐՏԻՆ ԳՐԻՆՀԱՈՒՍ» սահմանափակ պատասխանատվությամբ ընկերության կողﬕց ներկայացված ՀՀ Արագածոտնի մարզի Թալին համայնքի Արտենի գյուղում գտնվող 02-021-0243-0001, 02-021-0243-0005, 02-021-0243-0006, 02-021-0243-0007, 02-021-0243-0008, 02-021-0243-0009, 02-021-0243-0010, 02-021-0243-0011, 02-021-0243-0015, 02-021-0243-0016, 02-021-0243-0018, 02-021-0243-0019, 02-021-0243-0021, 02-021-0243-0022, 02-021-0243-0020 կադաստրային ծածկագրերով հողատարածքներում ջերմոցային տնտեսության կառուցման ներդրումային ծրագրին` համաձայն N1 հավելվածի: </w:t>
      </w:r>
    </w:p>
    <w:p w14:paraId="78EF1C9A" w14:textId="77777777" w:rsidR="00963ECD" w:rsidRPr="00A0419C" w:rsidRDefault="00963ECD" w:rsidP="00963ECD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 Առաջարկել համայնքի ղեկավարին` իրականացնելու սույն որոշուﬕց բխող իրավական գործառույթներ:</w:t>
      </w:r>
    </w:p>
    <w:p w14:paraId="08293237" w14:textId="77777777" w:rsidR="00963ECD" w:rsidRPr="00A0419C" w:rsidRDefault="00963ECD" w:rsidP="00963ECD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3.Սույն որոշումն ուժի մեջ է մտնում պաշտոնական հրապարակմանը հաջորդող օրվանից:</w:t>
      </w:r>
      <w:r w:rsidRPr="00A0419C">
        <w:rPr>
          <w:rFonts w:ascii="Sylfaen" w:hAnsi="Sylfaen"/>
          <w:b/>
          <w:color w:val="000000" w:themeColor="text1"/>
          <w:sz w:val="22"/>
          <w:szCs w:val="22"/>
          <w:lang w:val="hy-AM"/>
        </w:rPr>
        <w:t xml:space="preserve"> </w:t>
      </w:r>
    </w:p>
    <w:p w14:paraId="2F781B9B" w14:textId="77777777" w:rsidR="00963ECD" w:rsidRPr="00A0419C" w:rsidRDefault="00963ECD" w:rsidP="00963ECD">
      <w:pPr>
        <w:spacing w:after="0"/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2DC7E8EB" w14:textId="77777777" w:rsidR="00963ECD" w:rsidRPr="00A0419C" w:rsidRDefault="00963ECD" w:rsidP="00963ECD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693F5084" w14:textId="77777777" w:rsidR="00963ECD" w:rsidRPr="00A0419C" w:rsidRDefault="00963ECD" w:rsidP="00963ECD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2D07AF4" w14:textId="242A7710" w:rsidR="00963ECD" w:rsidRDefault="00963ECD" w:rsidP="00963ECD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C26781C" w14:textId="77777777" w:rsidR="00963ECD" w:rsidRPr="00A0419C" w:rsidRDefault="00963ECD" w:rsidP="00963ECD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309D222" w14:textId="77777777" w:rsidR="00963ECD" w:rsidRPr="00A0419C" w:rsidRDefault="00963ECD" w:rsidP="00963ECD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5ACF46FB" w14:textId="77777777" w:rsidR="00963ECD" w:rsidRPr="00A0419C" w:rsidRDefault="00963ECD" w:rsidP="00963ECD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5CE2E2EC" w14:textId="77777777" w:rsidR="00963ECD" w:rsidRPr="00A0419C" w:rsidRDefault="00963ECD" w:rsidP="00963ECD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07286C7A" w14:textId="77777777" w:rsidR="00963ECD" w:rsidRPr="00A0419C" w:rsidRDefault="00963ECD" w:rsidP="00963ECD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0E21C77A" w14:textId="77777777" w:rsidR="00963ECD" w:rsidRPr="00A0419C" w:rsidRDefault="00963ECD" w:rsidP="00963ECD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40EE4EF7" w14:textId="77777777" w:rsidR="00963ECD" w:rsidRPr="00A0419C" w:rsidRDefault="00963ECD" w:rsidP="00963ECD">
      <w:pPr>
        <w:spacing w:after="0" w:line="276" w:lineRule="auto"/>
        <w:jc w:val="center"/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  <w:t>ՀՀ ԱՐԱԳԱԾՈՏՆԻ ՄԱՐԶԻ ԹԱԼԻՆ ՀԱՄԱՅՆՔԻ ԱՐՏԵՆԻ ԲՆԱԿԱՎԱՅՐՈՒՄ «ԱՐՏԻՆ ԳՐԻՆՀԱՈՒՍ» ՍՊԸ-Ի ԿՈՂՄԻՑ ՋԵՐՄՈՑԱՅԻՆ ՏՆՏԵՍՈՒԹՅԱՆ ԿԱՌՈՒՑՄԱՆ ՆԵՐԴՐՈՒՄԱՅԻՆ ԾՐԱԳՐԻՆ ՀԱՎԱՆՈՒԹՅՈՒՆ ՏԱԼՈՒ ՎԵՐԱԲԵՐՅԱԼ</w:t>
      </w:r>
    </w:p>
    <w:p w14:paraId="115823B0" w14:textId="77777777" w:rsidR="00963ECD" w:rsidRPr="00A0419C" w:rsidRDefault="00963ECD" w:rsidP="00963ECD">
      <w:pPr>
        <w:spacing w:after="0" w:line="360" w:lineRule="auto"/>
        <w:jc w:val="both"/>
        <w:rPr>
          <w:rFonts w:ascii="Sylfaen" w:hAnsi="Sylfaen" w:cs="Sylfaen"/>
          <w:color w:val="000000" w:themeColor="text1"/>
          <w:lang w:val="hy-AM"/>
        </w:rPr>
      </w:pPr>
    </w:p>
    <w:p w14:paraId="7D5DD520" w14:textId="77777777" w:rsidR="00963ECD" w:rsidRPr="00A0419C" w:rsidRDefault="00963ECD" w:rsidP="00963ECD">
      <w:pPr>
        <w:spacing w:after="0" w:line="360" w:lineRule="auto"/>
        <w:jc w:val="both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>Թալին համայնքի ավագանու քննարկմանը ներկայացվող  որոշման նախագիծը մշակվել է «Տեղական ինքնակառավարման մասին» ՀՀ օրենքի 18-րդ հոդվածի 1-ին մասի 42-րդ կետի   կարգավորումների համատեքստում, հիմք ընդունելով «ԱՐՏԻՆ ԳՐԻՆՀԱՈՒՍ» ՍՊԸ-ի կողմից ներկայացված ՀՀ Արագածոտնի մարզի Թալին համայնքի Արտենի բնակավայրում ջերմոցային տնտեսության կառուցմանն առնչվող փաստաթղթերի փաթեթը և   համայնքի ղեկավարի առաջարկությունը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  </w:t>
      </w:r>
      <w:r w:rsidRPr="00A0419C">
        <w:rPr>
          <w:rFonts w:ascii="Sylfaen" w:hAnsi="Sylfaen" w:cs="Times New Roman"/>
          <w:b/>
          <w:bCs/>
          <w:color w:val="000000" w:themeColor="text1"/>
          <w:lang w:val="hy-AM"/>
        </w:rPr>
        <w:t xml:space="preserve"> </w:t>
      </w:r>
    </w:p>
    <w:p w14:paraId="13C623B0" w14:textId="77777777" w:rsidR="00963ECD" w:rsidRPr="00A0419C" w:rsidRDefault="00963ECD" w:rsidP="00963ECD">
      <w:pPr>
        <w:spacing w:after="0" w:line="360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 </w:t>
      </w:r>
    </w:p>
    <w:p w14:paraId="3353E28B" w14:textId="77777777" w:rsidR="00963ECD" w:rsidRPr="00A0419C" w:rsidRDefault="00963ECD" w:rsidP="00963ECD">
      <w:pPr>
        <w:spacing w:after="0" w:line="360" w:lineRule="auto"/>
        <w:jc w:val="both"/>
        <w:textAlignment w:val="baseline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Նախագծով  նախատեսվում է տալ համաձայնություն «ԱՐՏԻՆ ԳՐԻՆՀԱՈՒՍ» ՍՊԸ-ի կողﬕց ներկայացված ՀՀ Արագածոտնի մարզի Թալին համայնքի Արտենի գյուղում գտնվող 02-021-0243-0001, 02-021-0243-0005, 02-021-0243-0006, 02-021-0243-0007, 02-021-0243-0008, 02-021-0243-0009, 02-021-0243-0010, 02-021-0243-0011, 02-021-0243-0015, 02-021-0243-0016, 02-021-0243-0018, 02-021-0243-0019, 02-021-0243-0021, 02-021-0243-0022, 02-021-0243-0020 կադաստրային ծածկագրերով հողատարածքներում ջերմոցային տնտեսության կառուցման ներդրումային ծրագրին, համայնքում գյուղատնտեսությունը զարգացնելու և ներդրումների միջոցով աշխատատեղեր ստեղծելու նպատակով։  </w:t>
      </w:r>
    </w:p>
    <w:p w14:paraId="3426AC8A" w14:textId="77777777" w:rsidR="00963ECD" w:rsidRPr="00A0419C" w:rsidRDefault="00963ECD" w:rsidP="00963ECD">
      <w:pPr>
        <w:spacing w:after="0" w:line="360" w:lineRule="auto"/>
        <w:jc w:val="both"/>
        <w:textAlignment w:val="baseline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Ելնելով վերոգրյալից, համայնքի ավագանու քննարկմանն է ներկայացվում ՀՀ Արագածոտնի մարզի Թալին համայնքի Արտենի բնակավայրում «ԱՐՏԻՆ ԳՐԻՆՀԱՈՒՍ» ՍՊԸ-ի կողմից ջերմոցային տնտեսության կառուցման ներդրումային ծրագրին հավանություն տալու վերաբերյալ  ավագանու որոշման նախագիծը։ </w:t>
      </w:r>
    </w:p>
    <w:p w14:paraId="4AB5ECE5" w14:textId="77777777" w:rsidR="00963ECD" w:rsidRPr="00A0419C" w:rsidRDefault="00963ECD" w:rsidP="00963ECD">
      <w:pPr>
        <w:spacing w:after="0" w:line="360" w:lineRule="auto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</w:t>
      </w:r>
      <w:r w:rsidRPr="00A0419C">
        <w:rPr>
          <w:rFonts w:ascii="Sylfaen" w:hAnsi="Sylfaen" w:cs="Courier New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ընդունման կապակցությամբ այլ իրավական ակտերի ընդունման անհրաժեշտության մասին.</w:t>
      </w:r>
    </w:p>
    <w:p w14:paraId="404DE0F6" w14:textId="77777777" w:rsidR="00963ECD" w:rsidRPr="00A0419C" w:rsidRDefault="00963ECD" w:rsidP="00963ECD">
      <w:pPr>
        <w:spacing w:after="0" w:line="360" w:lineRule="auto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 xml:space="preserve">    Ավագանու որոշման նախագծի ընդունումն հիմք է հանդիսանում ՀՀ կառավարության կողմից   այլ  իրավական ակտերի ընդունման  անհրաժեշտություն։</w:t>
      </w:r>
    </w:p>
    <w:p w14:paraId="06BC1A0F" w14:textId="77777777" w:rsidR="00963ECD" w:rsidRPr="00A0419C" w:rsidRDefault="00963ECD" w:rsidP="00963ECD">
      <w:pPr>
        <w:spacing w:after="0" w:line="360" w:lineRule="auto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lang w:val="hy-AM"/>
        </w:rPr>
        <w:br/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  Ավագանու որոշման նախագծի ընդունման կապակցությամբ համայնքի բյուջեում չի նախատեսվում  եկամուտների ավելացում կամ նվազում։</w:t>
      </w:r>
    </w:p>
    <w:p w14:paraId="79405902" w14:textId="77777777" w:rsidR="00963ECD" w:rsidRPr="00A0419C" w:rsidRDefault="00963ECD" w:rsidP="00963ECD">
      <w:pPr>
        <w:spacing w:after="0" w:line="360" w:lineRule="auto"/>
        <w:jc w:val="both"/>
        <w:textAlignment w:val="baseline"/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</w:p>
    <w:p w14:paraId="34A39E55" w14:textId="77777777" w:rsidR="00963ECD" w:rsidRPr="00A0419C" w:rsidRDefault="00963ECD" w:rsidP="00963ECD">
      <w:pPr>
        <w:spacing w:after="0" w:line="360" w:lineRule="auto"/>
        <w:jc w:val="both"/>
        <w:rPr>
          <w:rFonts w:ascii="Sylfaen" w:eastAsia="Calibri" w:hAnsi="Sylfaen" w:cs="AK Courier"/>
          <w:noProof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lastRenderedPageBreak/>
        <w:t>Նախագիծը կրում է անհատական բնույթ</w:t>
      </w:r>
      <w:r w:rsidRPr="00A0419C">
        <w:rPr>
          <w:rFonts w:ascii="Sylfaen" w:eastAsia="Calibri" w:hAnsi="Sylfaen" w:cs="Arial"/>
          <w:bCs/>
          <w:noProof/>
          <w:color w:val="000000" w:themeColor="text1"/>
          <w:lang w:val="hy-AM"/>
        </w:rPr>
        <w:t>։</w:t>
      </w:r>
      <w:r w:rsidRPr="00A0419C">
        <w:rPr>
          <w:rFonts w:ascii="Sylfaen" w:eastAsia="Calibri" w:hAnsi="Sylfaen" w:cs="AK Courier"/>
          <w:bCs/>
          <w:noProof/>
          <w:color w:val="000000" w:themeColor="text1"/>
          <w:lang w:val="hy-AM"/>
        </w:rPr>
        <w:t xml:space="preserve"> </w:t>
      </w:r>
    </w:p>
    <w:p w14:paraId="03FDFF6B" w14:textId="77777777" w:rsidR="00963ECD" w:rsidRPr="00A0419C" w:rsidRDefault="00963ECD" w:rsidP="00963ECD">
      <w:pPr>
        <w:tabs>
          <w:tab w:val="left" w:pos="1089"/>
        </w:tabs>
        <w:spacing w:after="0" w:line="360" w:lineRule="auto"/>
        <w:rPr>
          <w:rFonts w:ascii="Sylfaen" w:eastAsia="Calibri" w:hAnsi="Sylfaen" w:cs="Arial"/>
          <w:bCs/>
          <w:noProof/>
          <w:color w:val="000000" w:themeColor="text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lang w:val="hy-AM"/>
        </w:rPr>
        <w:t>Նախագծի ընդունման արդյունքում ակնկալվում է, որ ՀՀ Արագածոտնի մարզի Թալին համայնքի Արտենի բնակավայրում կկառուցվի ջերմոցային տնտեսություն։</w:t>
      </w:r>
      <w:r w:rsidRPr="00A0419C">
        <w:rPr>
          <w:rFonts w:ascii="Sylfaen" w:hAnsi="Sylfaen"/>
          <w:color w:val="000000" w:themeColor="text1"/>
          <w:lang w:val="hy-AM"/>
        </w:rPr>
        <w:tab/>
      </w:r>
    </w:p>
    <w:p w14:paraId="26335CD2" w14:textId="77777777" w:rsidR="00354387" w:rsidRPr="00963ECD" w:rsidRDefault="00354387">
      <w:pPr>
        <w:rPr>
          <w:lang w:val="hy-AM"/>
        </w:rPr>
      </w:pPr>
    </w:p>
    <w:sectPr w:rsidR="00354387" w:rsidRPr="0096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43"/>
    <w:rsid w:val="00354387"/>
    <w:rsid w:val="007C1743"/>
    <w:rsid w:val="0096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E630A"/>
  <w15:chartTrackingRefBased/>
  <w15:docId w15:val="{1377D44D-F168-406B-8D50-E4B0630A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ECD"/>
    <w:rPr>
      <w:color w:val="0000FF"/>
      <w:u w:val="single"/>
    </w:rPr>
  </w:style>
  <w:style w:type="paragraph" w:styleId="a4">
    <w:name w:val="No Spacing"/>
    <w:uiPriority w:val="1"/>
    <w:qFormat/>
    <w:rsid w:val="00963EC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63ECD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963ECD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963ECD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3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2026-02-03T07:28:00Z</dcterms:created>
  <dcterms:modified xsi:type="dcterms:W3CDTF">2026-02-03T07:29:00Z</dcterms:modified>
</cp:coreProperties>
</file>