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56FA1" w14:textId="77777777" w:rsidR="00C76D29" w:rsidRPr="007A444D" w:rsidRDefault="00C76D29" w:rsidP="00C76D29">
      <w:pPr>
        <w:autoSpaceDE w:val="0"/>
        <w:autoSpaceDN w:val="0"/>
        <w:adjustRightInd w:val="0"/>
        <w:spacing w:before="240" w:after="0" w:line="240" w:lineRule="auto"/>
        <w:ind w:left="-142"/>
        <w:jc w:val="center"/>
        <w:rPr>
          <w:rFonts w:ascii="Sylfaen" w:eastAsia="Calibri" w:hAnsi="Sylfaen" w:cs="Sylfaen"/>
          <w:b/>
          <w:bCs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ՏԵՂԵԿԱՆՔ</w:t>
      </w:r>
      <w:r w:rsidRPr="007A444D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- 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ՀԻՄՆԱՎՈՐՈՒՄ</w:t>
      </w:r>
    </w:p>
    <w:p w14:paraId="15885FD6" w14:textId="77777777" w:rsidR="00C76D29" w:rsidRDefault="00C76D29" w:rsidP="00C76D29">
      <w:pPr>
        <w:shd w:val="clear" w:color="auto" w:fill="FFFFFF"/>
        <w:spacing w:before="240" w:after="0" w:line="240" w:lineRule="auto"/>
        <w:ind w:left="-142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«</w:t>
      </w:r>
      <w:r w:rsidRPr="007A444D">
        <w:rPr>
          <w:rFonts w:ascii="Sylfaen" w:hAnsi="Sylfaen" w:cs="Times New Roman"/>
          <w:b/>
          <w:bCs/>
          <w:sz w:val="24"/>
          <w:szCs w:val="24"/>
          <w:lang w:val="hy-AM"/>
        </w:rPr>
        <w:t>ՀԱՄԱՅՆՔԻ</w:t>
      </w:r>
      <w:r w:rsidRPr="007A444D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b/>
          <w:bCs/>
          <w:sz w:val="24"/>
          <w:szCs w:val="24"/>
          <w:lang w:val="hy-AM"/>
        </w:rPr>
        <w:t>ՍԵՓԱԿԱՆՈՒԹՅՈՒՆ</w:t>
      </w:r>
      <w:r w:rsidRPr="007A444D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b/>
          <w:bCs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b/>
          <w:bCs/>
          <w:sz w:val="24"/>
          <w:szCs w:val="24"/>
          <w:lang w:val="hy-AM"/>
        </w:rPr>
        <w:t>Ց</w:t>
      </w:r>
      <w:r w:rsidRPr="007A444D">
        <w:rPr>
          <w:rFonts w:ascii="Sylfaen" w:hAnsi="Sylfaen" w:cs="Times New Roman"/>
          <w:b/>
          <w:bCs/>
          <w:sz w:val="24"/>
          <w:szCs w:val="24"/>
          <w:lang w:val="hy-AM"/>
        </w:rPr>
        <w:t>ՈՂ</w:t>
      </w:r>
      <w:r w:rsidRPr="007A444D">
        <w:rPr>
          <w:rFonts w:ascii="Sylfaen" w:hAnsi="Sylfaen" w:cstheme="minorHAnsi"/>
          <w:b/>
          <w:bCs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b/>
          <w:bCs/>
          <w:sz w:val="24"/>
          <w:szCs w:val="24"/>
          <w:lang w:val="hy-AM"/>
        </w:rPr>
        <w:t>ՀՈՂԱՄԱՍԵՐԻՑ ԱՎԱԶ ՏԵՂԱՓՈԽԵԼՈՒ ՄԱՍԻՆ</w:t>
      </w:r>
      <w:r w:rsidRPr="007A444D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» 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ԹԱԼԻՆ</w:t>
      </w:r>
      <w:r w:rsidRPr="007A444D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ՀԱՄԱՅՆՔԻ</w:t>
      </w:r>
      <w:r w:rsidRPr="007A444D">
        <w:rPr>
          <w:rFonts w:ascii="Sylfaen" w:eastAsia="Calibri" w:hAnsi="Sylfaen" w:cs="Sylfaen"/>
          <w:b/>
          <w:bCs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b/>
          <w:sz w:val="24"/>
          <w:szCs w:val="24"/>
          <w:lang w:val="hy-AM"/>
        </w:rPr>
        <w:t>ՈՐՈՇՄԱՆ ՆԱԽԱԳԾԻ ԸՆԴՈՒՆՄԱՆ ԱՆՀՐԱԺԵՇՏՈՒԹՅԱՆ ՎԵՐԱԲԵՐՅԱԼ</w:t>
      </w:r>
    </w:p>
    <w:p w14:paraId="2BD1613F" w14:textId="77777777" w:rsidR="00C76D29" w:rsidRPr="007A444D" w:rsidRDefault="00C76D29" w:rsidP="00C76D29">
      <w:pPr>
        <w:shd w:val="clear" w:color="auto" w:fill="FFFFFF"/>
        <w:spacing w:before="240" w:after="0" w:line="240" w:lineRule="auto"/>
        <w:ind w:left="-142"/>
        <w:jc w:val="center"/>
        <w:rPr>
          <w:rFonts w:ascii="Sylfaen" w:eastAsia="Calibri" w:hAnsi="Sylfaen" w:cs="Times New Roman"/>
          <w:b/>
          <w:sz w:val="24"/>
          <w:szCs w:val="24"/>
          <w:lang w:val="hy-AM"/>
        </w:rPr>
      </w:pPr>
    </w:p>
    <w:p w14:paraId="1A8C72D3" w14:textId="77777777" w:rsidR="00C76D29" w:rsidRPr="007A444D" w:rsidRDefault="00C76D29" w:rsidP="00C76D29">
      <w:pPr>
        <w:spacing w:after="0" w:line="240" w:lineRule="auto"/>
        <w:ind w:left="-142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    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Թալին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համայնքի ավագանու քննարկմանը ներկայացվող «</w:t>
      </w:r>
      <w:r w:rsidRPr="007A444D">
        <w:rPr>
          <w:rFonts w:ascii="Sylfaen" w:hAnsi="Sylfaen" w:cs="Times New Roman"/>
          <w:sz w:val="24"/>
          <w:szCs w:val="24"/>
          <w:lang w:val="hy-AM"/>
        </w:rPr>
        <w:t>Համայնքի</w:t>
      </w:r>
      <w:r w:rsidRPr="007A444D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sz w:val="24"/>
          <w:szCs w:val="24"/>
          <w:lang w:val="hy-AM"/>
        </w:rPr>
        <w:t>սեփականություն</w:t>
      </w:r>
      <w:r w:rsidRPr="007A444D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sz w:val="24"/>
          <w:szCs w:val="24"/>
          <w:lang w:val="hy-AM"/>
        </w:rPr>
        <w:t>հանդիսա</w:t>
      </w:r>
      <w:r>
        <w:rPr>
          <w:rFonts w:ascii="Sylfaen" w:hAnsi="Sylfaen" w:cs="Times New Roman"/>
          <w:sz w:val="24"/>
          <w:szCs w:val="24"/>
          <w:lang w:val="hy-AM"/>
        </w:rPr>
        <w:t>ց</w:t>
      </w:r>
      <w:r w:rsidRPr="007A444D">
        <w:rPr>
          <w:rFonts w:ascii="Sylfaen" w:hAnsi="Sylfaen" w:cs="Times New Roman"/>
          <w:sz w:val="24"/>
          <w:szCs w:val="24"/>
          <w:lang w:val="hy-AM"/>
        </w:rPr>
        <w:t>ող</w:t>
      </w:r>
      <w:r w:rsidRPr="007A444D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sz w:val="24"/>
          <w:szCs w:val="24"/>
          <w:lang w:val="hy-AM"/>
        </w:rPr>
        <w:t>հողամասերից ավազ տեղափոխելու մասին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 xml:space="preserve">» որոշման նախագիծը մշակվել է «Տեղական ինքնակառավարման մասին» օրենքի </w:t>
      </w:r>
      <w:r w:rsidRPr="007A444D">
        <w:rPr>
          <w:rFonts w:ascii="Sylfaen" w:hAnsi="Sylfaen" w:cstheme="minorHAnsi"/>
          <w:sz w:val="24"/>
          <w:szCs w:val="24"/>
          <w:lang w:val="hy-AM"/>
        </w:rPr>
        <w:t>18-</w:t>
      </w:r>
      <w:r w:rsidRPr="007A444D">
        <w:rPr>
          <w:rFonts w:ascii="Sylfaen" w:hAnsi="Sylfaen" w:cs="Times New Roman"/>
          <w:sz w:val="24"/>
          <w:szCs w:val="24"/>
          <w:lang w:val="hy-AM"/>
        </w:rPr>
        <w:t>րդ</w:t>
      </w:r>
      <w:r w:rsidRPr="007A444D">
        <w:rPr>
          <w:rFonts w:ascii="Sylfaen" w:hAnsi="Sylfaen" w:cstheme="minorHAnsi"/>
          <w:sz w:val="24"/>
          <w:szCs w:val="24"/>
          <w:lang w:val="hy-AM"/>
        </w:rPr>
        <w:t xml:space="preserve"> </w:t>
      </w:r>
      <w:r w:rsidRPr="007A444D">
        <w:rPr>
          <w:rFonts w:ascii="Sylfaen" w:hAnsi="Sylfaen" w:cs="Times New Roman"/>
          <w:sz w:val="24"/>
          <w:szCs w:val="24"/>
          <w:lang w:val="hy-AM"/>
        </w:rPr>
        <w:t>հոդվածի</w:t>
      </w:r>
      <w:r w:rsidRPr="007A444D">
        <w:rPr>
          <w:rFonts w:ascii="Sylfaen" w:hAnsi="Sylfaen" w:cstheme="minorHAnsi"/>
          <w:sz w:val="24"/>
          <w:szCs w:val="24"/>
          <w:lang w:val="hy-AM"/>
        </w:rPr>
        <w:t xml:space="preserve"> 42-</w:t>
      </w:r>
      <w:r w:rsidRPr="007A444D">
        <w:rPr>
          <w:rFonts w:ascii="Sylfaen" w:hAnsi="Sylfaen" w:cs="Times New Roman"/>
          <w:sz w:val="24"/>
          <w:szCs w:val="24"/>
          <w:lang w:val="hy-AM"/>
        </w:rPr>
        <w:t>րդ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 xml:space="preserve">կետի և </w:t>
      </w:r>
      <w:r w:rsidRPr="007A444D">
        <w:rPr>
          <w:rFonts w:ascii="Sylfaen" w:hAnsi="Sylfaen" w:cs="Times New Roman"/>
          <w:sz w:val="24"/>
          <w:szCs w:val="24"/>
          <w:lang w:val="hy-AM"/>
        </w:rPr>
        <w:t>Կառավարության 2013թ-ի թիվ 152-Ն որոշման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 xml:space="preserve"> պահանջների կարգավորումների համատեքստում։ </w:t>
      </w:r>
    </w:p>
    <w:p w14:paraId="191DC054" w14:textId="77777777" w:rsidR="00C76D29" w:rsidRPr="007A444D" w:rsidRDefault="00C76D29" w:rsidP="00C76D29">
      <w:pPr>
        <w:spacing w:after="0" w:line="240" w:lineRule="auto"/>
        <w:ind w:left="-142"/>
        <w:jc w:val="both"/>
        <w:rPr>
          <w:rFonts w:ascii="Sylfaen" w:eastAsia="Calibri" w:hAnsi="Sylfaen" w:cs="Times New Roman"/>
          <w:sz w:val="24"/>
          <w:szCs w:val="24"/>
          <w:lang w:val="hy-AM"/>
        </w:rPr>
      </w:pPr>
    </w:p>
    <w:p w14:paraId="2568086B" w14:textId="77777777" w:rsidR="00C76D29" w:rsidRDefault="00C76D29" w:rsidP="00C76D29">
      <w:pPr>
        <w:autoSpaceDE w:val="0"/>
        <w:autoSpaceDN w:val="0"/>
        <w:adjustRightInd w:val="0"/>
        <w:spacing w:after="0" w:line="240" w:lineRule="auto"/>
        <w:ind w:left="-142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   Իրավական ակտի ընդունման նպատակը և կարգավորման անհրաժեշտությունը.</w:t>
      </w:r>
    </w:p>
    <w:p w14:paraId="2317C9AA" w14:textId="77777777" w:rsidR="00C76D29" w:rsidRPr="005D0C1D" w:rsidRDefault="00C76D29" w:rsidP="00C76D29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Sylfaen" w:eastAsia="Calibri" w:hAnsi="Sylfaen" w:cs="Sylfaen"/>
          <w:color w:val="000000"/>
          <w:sz w:val="24"/>
          <w:szCs w:val="24"/>
          <w:lang w:val="hy-AM"/>
        </w:rPr>
      </w:pPr>
      <w:r w:rsidRPr="005D0C1D">
        <w:rPr>
          <w:rFonts w:ascii="Sylfaen" w:eastAsia="Calibri" w:hAnsi="Sylfaen" w:cs="Times New Roman"/>
          <w:sz w:val="24"/>
          <w:szCs w:val="24"/>
          <w:lang w:val="hy-AM"/>
        </w:rPr>
        <w:t>Կառավարության 2013թ-ի թիվ 152-Ն որոշմամբ սահմանված է, որ իրականացնում է համայնքի բնակավայրերում համապատասխան շինաշխատանքներ՝ ըստ անհրաժեշտության ելնելով համայնքի կարիքներից:</w:t>
      </w:r>
    </w:p>
    <w:p w14:paraId="62A03B99" w14:textId="77777777" w:rsidR="00C76D29" w:rsidRPr="007A444D" w:rsidRDefault="00C76D29" w:rsidP="00C76D29">
      <w:pPr>
        <w:shd w:val="clear" w:color="auto" w:fill="FFFFFF"/>
        <w:spacing w:before="240" w:after="0" w:line="240" w:lineRule="auto"/>
        <w:ind w:left="-142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</w:t>
      </w:r>
      <w:r w:rsidRPr="007A444D">
        <w:rPr>
          <w:rFonts w:ascii="Sylfaen" w:eastAsia="Calibri" w:hAnsi="Sylfaen" w:cs="Courier New"/>
          <w:b/>
          <w:bCs/>
          <w:sz w:val="24"/>
          <w:szCs w:val="24"/>
          <w:lang w:val="hy-AM"/>
        </w:rPr>
        <w:t> 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>ընդունման կապակցությամբ այլ իրավական ակտերի ընդունման անհրաժեշտության մասին.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  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նախագծի ընդունումն այլ իրավական ակտերի ընդունման կամ փոփոխություններ կատարելու անհրաժեշտություն չի առաջացնում:</w:t>
      </w:r>
    </w:p>
    <w:p w14:paraId="381B494E" w14:textId="77777777" w:rsidR="00C76D29" w:rsidRPr="007A444D" w:rsidRDefault="00C76D29" w:rsidP="00C76D29">
      <w:pPr>
        <w:shd w:val="clear" w:color="auto" w:fill="FFFFFF"/>
        <w:spacing w:before="240" w:after="0" w:line="240" w:lineRule="auto"/>
        <w:ind w:left="-142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   Իրավական ակտի ընդունման կապակցությամբ</w:t>
      </w:r>
      <w:r w:rsidRPr="007A444D">
        <w:rPr>
          <w:rFonts w:ascii="Sylfaen" w:eastAsia="Calibri" w:hAnsi="Sylfaen" w:cs="Calibri"/>
          <w:b/>
          <w:bCs/>
          <w:sz w:val="24"/>
          <w:szCs w:val="24"/>
          <w:lang w:val="hy-AM"/>
        </w:rPr>
        <w:t> 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 xml:space="preserve"> բյուջեում եկամուտների և ծախսերի ավելացման կամ նվազեցման մասին.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tab/>
      </w:r>
      <w:r w:rsidRPr="007A444D">
        <w:rPr>
          <w:rFonts w:ascii="Sylfaen" w:eastAsia="Calibri" w:hAnsi="Sylfaen" w:cs="Times New Roman"/>
          <w:b/>
          <w:bCs/>
          <w:sz w:val="24"/>
          <w:szCs w:val="24"/>
          <w:lang w:val="hy-AM"/>
        </w:rPr>
        <w:br/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   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Ավագանու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որոշման</w:t>
      </w:r>
      <w:r w:rsidRPr="007A444D">
        <w:rPr>
          <w:rFonts w:ascii="Sylfaen" w:eastAsia="Calibri" w:hAnsi="Sylfaen" w:cs="Sylfaen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նախագծի ընդունման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կապակցությամբ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համայնքի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բյուջեում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եկամուտների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նվազեցում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է</w:t>
      </w:r>
      <w:r w:rsidRPr="007A444D">
        <w:rPr>
          <w:rFonts w:ascii="Sylfaen" w:eastAsia="Calibri" w:hAnsi="Sylfaen" w:cs="Arial AMU"/>
          <w:sz w:val="24"/>
          <w:szCs w:val="24"/>
          <w:lang w:val="hy-AM"/>
        </w:rPr>
        <w:t xml:space="preserve"> 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նախատեսվում:</w:t>
      </w:r>
    </w:p>
    <w:p w14:paraId="09D7FE52" w14:textId="77777777" w:rsidR="00C76D29" w:rsidRPr="007A444D" w:rsidRDefault="00C76D29" w:rsidP="00C76D2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Նախագծով առաջարկվող կարգավորումների բնույթն ու նպատակը.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</w:p>
    <w:p w14:paraId="3E44401E" w14:textId="77777777" w:rsidR="00C76D29" w:rsidRPr="007A444D" w:rsidRDefault="00C76D29" w:rsidP="00C76D29">
      <w:pPr>
        <w:shd w:val="clear" w:color="auto" w:fill="FFFFFF"/>
        <w:spacing w:after="0" w:line="240" w:lineRule="auto"/>
        <w:ind w:left="-142"/>
        <w:jc w:val="both"/>
        <w:textAlignment w:val="baseline"/>
        <w:rPr>
          <w:rFonts w:ascii="Sylfaen" w:eastAsia="Calibri" w:hAnsi="Sylfaen" w:cs="Times New Roman"/>
          <w:color w:val="000000"/>
          <w:sz w:val="24"/>
          <w:szCs w:val="24"/>
          <w:shd w:val="clear" w:color="auto" w:fill="FFFFFF"/>
          <w:lang w:val="hy-AM"/>
        </w:rPr>
      </w:pPr>
      <w:r w:rsidRPr="007A444D">
        <w:rPr>
          <w:rFonts w:ascii="Sylfaen" w:eastAsia="Calibri" w:hAnsi="Sylfaen" w:cs="Times New Roman"/>
          <w:sz w:val="24"/>
          <w:szCs w:val="24"/>
          <w:lang w:val="hy-AM"/>
        </w:rPr>
        <w:t>Նախագիծը կրում է անհատական  բնույթ, քանի որ  պարունակում է վարքագծի կանոն կամ առաջացնում է փաստական հետևանքներ և վերաբերում է միայն դրանում անհատապես նշված անձին։</w:t>
      </w:r>
    </w:p>
    <w:p w14:paraId="5B5C9ECE" w14:textId="77777777" w:rsidR="00C76D29" w:rsidRPr="007A444D" w:rsidRDefault="00C76D29" w:rsidP="00C76D29">
      <w:pPr>
        <w:shd w:val="clear" w:color="auto" w:fill="FFFFFF"/>
        <w:spacing w:before="240" w:after="0" w:line="240" w:lineRule="auto"/>
        <w:ind w:left="-142"/>
        <w:jc w:val="both"/>
        <w:textAlignment w:val="baseline"/>
        <w:rPr>
          <w:rFonts w:ascii="Sylfaen" w:eastAsia="Calibri" w:hAnsi="Sylfaen" w:cs="Times New Roman"/>
          <w:sz w:val="24"/>
          <w:szCs w:val="24"/>
          <w:lang w:val="hy-AM"/>
        </w:rPr>
      </w:pPr>
      <w:r w:rsidRPr="007A444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 xml:space="preserve">    Իրավական ակտի կիրառման դեպքում ակնկալվող արդյունքը.</w:t>
      </w:r>
      <w:r w:rsidRPr="007A444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tab/>
      </w:r>
      <w:r w:rsidRPr="007A444D">
        <w:rPr>
          <w:rFonts w:ascii="Sylfaen" w:eastAsia="Calibri" w:hAnsi="Sylfaen" w:cs="Times New Roman"/>
          <w:b/>
          <w:bCs/>
          <w:sz w:val="24"/>
          <w:szCs w:val="24"/>
          <w:bdr w:val="none" w:sz="0" w:space="0" w:color="auto" w:frame="1"/>
          <w:lang w:val="hy-AM"/>
        </w:rPr>
        <w:br/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 xml:space="preserve">    Նախագծի ընդունման արդյունքում ակնկալվում է գործող օրենսդրությամբ նախատեսված պահանջներին համապատասխան ապահովել </w:t>
      </w:r>
      <w:r w:rsidRPr="007A444D">
        <w:rPr>
          <w:rFonts w:ascii="Sylfaen" w:hAnsi="Sylfaen"/>
          <w:sz w:val="24"/>
          <w:szCs w:val="24"/>
          <w:lang w:val="hy-AM"/>
        </w:rPr>
        <w:t>Թալին համայնքի բնակավայրերի բարեկարգում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>։</w:t>
      </w:r>
      <w:r w:rsidRPr="007A444D">
        <w:rPr>
          <w:rFonts w:ascii="Sylfaen" w:eastAsia="Calibri" w:hAnsi="Sylfaen" w:cs="Times New Roman"/>
          <w:sz w:val="24"/>
          <w:szCs w:val="24"/>
          <w:lang w:val="hy-AM"/>
        </w:rPr>
        <w:tab/>
      </w:r>
    </w:p>
    <w:p w14:paraId="0B4531DC" w14:textId="77777777" w:rsidR="00C76D29" w:rsidRDefault="00C76D29" w:rsidP="00C76D29">
      <w:pPr>
        <w:shd w:val="clear" w:color="auto" w:fill="FFFFFF"/>
        <w:spacing w:line="360" w:lineRule="auto"/>
        <w:jc w:val="both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78968369" w14:textId="77777777" w:rsidR="00C76D29" w:rsidRPr="00F54F0E" w:rsidRDefault="00C76D29" w:rsidP="00C76D29">
      <w:pPr>
        <w:shd w:val="clear" w:color="auto" w:fill="FFFFFF"/>
        <w:spacing w:line="360" w:lineRule="auto"/>
        <w:ind w:left="567"/>
        <w:jc w:val="center"/>
        <w:textAlignment w:val="baseline"/>
        <w:rPr>
          <w:rFonts w:ascii="Sylfaen" w:eastAsia="Calibri" w:hAnsi="Sylfaen" w:cs="Times New Roman"/>
          <w:b/>
          <w:color w:val="FF0000"/>
          <w:sz w:val="24"/>
          <w:szCs w:val="24"/>
          <w:lang w:val="hy-AM"/>
        </w:rPr>
      </w:pPr>
    </w:p>
    <w:p w14:paraId="413C3FB7" w14:textId="77777777" w:rsidR="00C76D29" w:rsidRPr="00F54F0E" w:rsidRDefault="00C76D29" w:rsidP="00C76D29">
      <w:pPr>
        <w:autoSpaceDE w:val="0"/>
        <w:autoSpaceDN w:val="0"/>
        <w:adjustRightInd w:val="0"/>
        <w:spacing w:after="0" w:line="240" w:lineRule="auto"/>
        <w:jc w:val="center"/>
        <w:rPr>
          <w:rFonts w:ascii="Sylfaen" w:eastAsia="Calibri" w:hAnsi="Sylfaen" w:cs="TimesArmenianPSMT"/>
          <w:sz w:val="24"/>
          <w:szCs w:val="24"/>
          <w:lang w:val="hy-AM"/>
        </w:rPr>
      </w:pPr>
      <w:r w:rsidRPr="00F54F0E">
        <w:rPr>
          <w:rFonts w:ascii="Sylfaen" w:eastAsia="Calibri" w:hAnsi="Sylfaen" w:cs="Times New Roman"/>
          <w:b/>
          <w:sz w:val="24"/>
          <w:szCs w:val="24"/>
          <w:lang w:val="hy-AM"/>
        </w:rPr>
        <w:t>ՀԱՄԱՅՆՔԻ ՂԵԿԱՎԱՐ</w:t>
      </w:r>
      <w:r w:rsidRPr="00F54F0E">
        <w:rPr>
          <w:rFonts w:ascii="Sylfaen" w:eastAsia="Calibri" w:hAnsi="Sylfaen" w:cs="Times New Roman"/>
          <w:sz w:val="24"/>
          <w:szCs w:val="24"/>
          <w:lang w:val="hy-AM"/>
        </w:rPr>
        <w:t xml:space="preserve">՝    </w:t>
      </w:r>
      <w:r w:rsidRPr="00F54F0E">
        <w:rPr>
          <w:rFonts w:ascii="Sylfaen" w:eastAsia="Calibri" w:hAnsi="Sylfaen" w:cs="TimesArmenianPSMT"/>
          <w:sz w:val="24"/>
          <w:szCs w:val="24"/>
          <w:lang w:val="hy-AM"/>
        </w:rPr>
        <w:t xml:space="preserve">  ___________________</w:t>
      </w:r>
      <w:r w:rsidRPr="00F54F0E">
        <w:rPr>
          <w:rFonts w:ascii="Sylfaen" w:eastAsia="Calibri" w:hAnsi="Sylfaen" w:cs="TimesArmenianPSMT"/>
          <w:sz w:val="24"/>
          <w:szCs w:val="24"/>
          <w:lang w:val="hy-AM"/>
        </w:rPr>
        <w:tab/>
        <w:t xml:space="preserve">       </w:t>
      </w:r>
      <w:r w:rsidRPr="00F54F0E">
        <w:rPr>
          <w:rFonts w:ascii="Sylfaen" w:hAnsi="Sylfaen" w:cs="Times New Roman"/>
          <w:sz w:val="24"/>
          <w:szCs w:val="24"/>
          <w:lang w:val="hy-AM"/>
        </w:rPr>
        <w:t>Տ</w:t>
      </w:r>
      <w:r w:rsidRPr="00F54F0E">
        <w:rPr>
          <w:rFonts w:ascii="Times New Roman" w:hAnsi="Times New Roman" w:cs="Times New Roman"/>
          <w:sz w:val="24"/>
          <w:szCs w:val="24"/>
          <w:lang w:val="hy-AM"/>
        </w:rPr>
        <w:t>․</w:t>
      </w:r>
      <w:r w:rsidRPr="00F54F0E">
        <w:rPr>
          <w:rFonts w:ascii="Sylfaen" w:hAnsi="Sylfaen" w:cs="Times New Roman"/>
          <w:sz w:val="24"/>
          <w:szCs w:val="24"/>
          <w:lang w:val="hy-AM"/>
        </w:rPr>
        <w:t xml:space="preserve"> ՍԱՓԵՅԱՆ</w:t>
      </w:r>
    </w:p>
    <w:p w14:paraId="3F6530F6" w14:textId="77777777" w:rsidR="00C76D29" w:rsidRPr="007A444D" w:rsidRDefault="00C76D29" w:rsidP="00C76D29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Sylfaen" w:eastAsia="Calibri" w:hAnsi="Sylfaen" w:cs="TimesArmenianPSMT"/>
          <w:sz w:val="20"/>
          <w:szCs w:val="20"/>
          <w:lang w:val="hy-AM"/>
        </w:rPr>
      </w:pPr>
      <w:r w:rsidRPr="007A444D">
        <w:rPr>
          <w:rFonts w:ascii="Sylfaen" w:eastAsia="Calibri" w:hAnsi="Sylfaen" w:cs="Times New Roman"/>
          <w:sz w:val="20"/>
          <w:szCs w:val="20"/>
          <w:shd w:val="clear" w:color="auto" w:fill="FFFFFF"/>
          <w:lang w:val="hy-AM"/>
        </w:rPr>
        <w:t xml:space="preserve">                   </w:t>
      </w:r>
      <w:r w:rsidRPr="007A444D">
        <w:rPr>
          <w:rFonts w:ascii="Sylfaen" w:eastAsia="Calibri" w:hAnsi="Sylfaen" w:cs="Times New Roman"/>
          <w:b/>
          <w:sz w:val="20"/>
          <w:szCs w:val="20"/>
          <w:shd w:val="clear" w:color="auto" w:fill="FFFFFF"/>
          <w:lang w:val="hy-AM"/>
        </w:rPr>
        <w:t xml:space="preserve">    </w:t>
      </w:r>
      <w:r w:rsidRPr="007A444D">
        <w:rPr>
          <w:rFonts w:ascii="Sylfaen" w:eastAsia="Calibri" w:hAnsi="Sylfaen" w:cs="Times New Roman"/>
          <w:sz w:val="20"/>
          <w:szCs w:val="20"/>
          <w:shd w:val="clear" w:color="auto" w:fill="FFFFFF"/>
          <w:lang w:val="hy-AM"/>
        </w:rPr>
        <w:t xml:space="preserve">                                                 </w:t>
      </w:r>
      <w:r>
        <w:rPr>
          <w:rFonts w:ascii="Sylfaen" w:eastAsia="Calibri" w:hAnsi="Sylfaen" w:cs="Times New Roman"/>
          <w:sz w:val="20"/>
          <w:szCs w:val="20"/>
          <w:shd w:val="clear" w:color="auto" w:fill="FFFFFF"/>
          <w:lang w:val="hy-AM"/>
        </w:rPr>
        <w:t xml:space="preserve">                 </w:t>
      </w:r>
      <w:r w:rsidRPr="007A444D">
        <w:rPr>
          <w:rFonts w:ascii="Sylfaen" w:eastAsia="Calibri" w:hAnsi="Sylfaen" w:cs="Times New Roman"/>
          <w:sz w:val="20"/>
          <w:szCs w:val="20"/>
          <w:shd w:val="clear" w:color="auto" w:fill="FFFFFF"/>
          <w:lang w:val="hy-AM"/>
        </w:rPr>
        <w:t xml:space="preserve">   </w:t>
      </w:r>
      <w:r w:rsidRPr="007A444D">
        <w:rPr>
          <w:rFonts w:ascii="Sylfaen" w:eastAsia="Calibri" w:hAnsi="Sylfaen" w:cs="Sylfaen"/>
          <w:sz w:val="20"/>
          <w:szCs w:val="20"/>
          <w:lang w:val="hy-AM"/>
        </w:rPr>
        <w:t>(</w:t>
      </w:r>
      <w:r w:rsidRPr="007A444D">
        <w:rPr>
          <w:rFonts w:ascii="Sylfaen" w:eastAsia="Calibri" w:hAnsi="Sylfaen" w:cs="Times New Roman"/>
          <w:sz w:val="20"/>
          <w:szCs w:val="20"/>
          <w:lang w:val="hy-AM"/>
        </w:rPr>
        <w:t>ստորագրություն</w:t>
      </w:r>
      <w:r w:rsidRPr="007A444D">
        <w:rPr>
          <w:rFonts w:ascii="Sylfaen" w:eastAsia="Calibri" w:hAnsi="Sylfaen" w:cs="TimesArmenianPSMT"/>
          <w:sz w:val="20"/>
          <w:szCs w:val="20"/>
          <w:lang w:val="hy-AM"/>
        </w:rPr>
        <w:t>)</w:t>
      </w:r>
    </w:p>
    <w:p w14:paraId="28143345" w14:textId="77777777" w:rsidR="00C76D29" w:rsidRPr="007A444D" w:rsidRDefault="00C76D29" w:rsidP="00C76D29">
      <w:pPr>
        <w:rPr>
          <w:rFonts w:ascii="Sylfaen" w:hAnsi="Sylfaen"/>
          <w:sz w:val="24"/>
          <w:szCs w:val="24"/>
          <w:lang w:val="hy-AM"/>
        </w:rPr>
      </w:pPr>
    </w:p>
    <w:p w14:paraId="16F4C4E6" w14:textId="5883C8A6" w:rsidR="00A55A3F" w:rsidRPr="00C76D29" w:rsidRDefault="00A55A3F" w:rsidP="00C76D29">
      <w:pPr>
        <w:rPr>
          <w:lang w:val="hy-AM"/>
        </w:rPr>
      </w:pPr>
    </w:p>
    <w:sectPr w:rsidR="00A55A3F" w:rsidRPr="00C76D29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8"/>
  </w:num>
  <w:num w:numId="18">
    <w:abstractNumId w:val="41"/>
  </w:num>
  <w:num w:numId="19">
    <w:abstractNumId w:val="18"/>
  </w:num>
  <w:num w:numId="20">
    <w:abstractNumId w:val="24"/>
  </w:num>
  <w:num w:numId="21">
    <w:abstractNumId w:val="13"/>
  </w:num>
  <w:num w:numId="22">
    <w:abstractNumId w:val="37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0"/>
  </w:num>
  <w:num w:numId="28">
    <w:abstractNumId w:val="31"/>
  </w:num>
  <w:num w:numId="29">
    <w:abstractNumId w:val="27"/>
  </w:num>
  <w:num w:numId="30">
    <w:abstractNumId w:val="39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186698"/>
    <w:rsid w:val="0038021C"/>
    <w:rsid w:val="005007CF"/>
    <w:rsid w:val="00522B19"/>
    <w:rsid w:val="00561889"/>
    <w:rsid w:val="00581BCC"/>
    <w:rsid w:val="005F4ACC"/>
    <w:rsid w:val="0083555C"/>
    <w:rsid w:val="008932CD"/>
    <w:rsid w:val="00A55A3F"/>
    <w:rsid w:val="00C76D29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12</cp:revision>
  <dcterms:created xsi:type="dcterms:W3CDTF">2025-03-17T06:38:00Z</dcterms:created>
  <dcterms:modified xsi:type="dcterms:W3CDTF">2025-04-01T07:00:00Z</dcterms:modified>
</cp:coreProperties>
</file>