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81084" w14:textId="77777777" w:rsidR="00FF0217" w:rsidRPr="006D515E" w:rsidRDefault="00FF0217" w:rsidP="00FF0217">
      <w:pPr>
        <w:autoSpaceDE w:val="0"/>
        <w:autoSpaceDN w:val="0"/>
        <w:adjustRightInd w:val="0"/>
        <w:spacing w:after="0" w:line="360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>ՏԵՂԵԿԱՆՔ - ՀԻՄՆԱՎՈՐՈՒՄ</w:t>
      </w:r>
    </w:p>
    <w:p w14:paraId="731E4F2C" w14:textId="77777777" w:rsidR="00FF0217" w:rsidRPr="006D515E" w:rsidRDefault="00FF0217" w:rsidP="00FF0217">
      <w:pPr>
        <w:spacing w:after="0" w:line="276" w:lineRule="auto"/>
        <w:ind w:left="-284"/>
        <w:jc w:val="center"/>
        <w:rPr>
          <w:rFonts w:ascii="Sylfaen" w:eastAsia="MS Mincho" w:hAnsi="Sylfaen" w:cs="MS Mincho"/>
          <w:b/>
          <w:sz w:val="24"/>
          <w:szCs w:val="24"/>
          <w:shd w:val="clear" w:color="auto" w:fill="FFFFFF"/>
          <w:lang w:val="hy-AM"/>
        </w:rPr>
      </w:pPr>
      <w:r w:rsidRPr="006D515E">
        <w:rPr>
          <w:rFonts w:ascii="Sylfaen" w:eastAsia="Times New Roman" w:hAnsi="Sylfaen" w:cs="GHEA Grapalat"/>
          <w:b/>
          <w:bCs/>
          <w:sz w:val="24"/>
          <w:szCs w:val="24"/>
          <w:lang w:val="hy-AM"/>
        </w:rPr>
        <w:t>ԿԱՐԻՆԵ ԲԱԲԿԵՆԻ ՍԱՐԳՍՅԱՆԻ</w:t>
      </w:r>
      <w:r w:rsidRPr="006D515E">
        <w:rPr>
          <w:rFonts w:ascii="Sylfaen" w:eastAsia="Times New Roman" w:hAnsi="Sylfaen" w:cs="Times New Roman"/>
          <w:b/>
          <w:bCs/>
          <w:sz w:val="24"/>
          <w:szCs w:val="24"/>
          <w:lang w:val="hy-AM"/>
        </w:rPr>
        <w:t>Ն</w:t>
      </w:r>
      <w:r w:rsidRPr="006D515E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6D515E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ՊԱՏԿԱՆՈՂ ԱՆՇԱՐԺ ԳՈՒՅՔԻ ՀԱՄԱՐ ՀԱՐԿԱՅԻՆ ԱՐՏՈՆՈՒԹՅՈՒՆ ԿԻՐԱՌԵԼՈՒ  </w:t>
      </w:r>
      <w:r w:rsidRPr="006D515E">
        <w:rPr>
          <w:rFonts w:ascii="Sylfaen" w:eastAsia="MS Mincho" w:hAnsi="Sylfaen" w:cs="MS Mincho"/>
          <w:b/>
          <w:sz w:val="24"/>
          <w:szCs w:val="24"/>
          <w:shd w:val="clear" w:color="auto" w:fill="FFFFFF"/>
          <w:lang w:val="hy-AM"/>
        </w:rPr>
        <w:t>ՎԵՐԱԲԵՐՅԱԼ</w:t>
      </w:r>
    </w:p>
    <w:p w14:paraId="6CD0462A" w14:textId="77777777" w:rsidR="00FF0217" w:rsidRPr="006D515E" w:rsidRDefault="00FF0217" w:rsidP="00FF0217">
      <w:pPr>
        <w:spacing w:after="0" w:line="276" w:lineRule="auto"/>
        <w:ind w:left="-284"/>
        <w:jc w:val="both"/>
        <w:rPr>
          <w:rFonts w:ascii="Sylfaen" w:hAnsi="Sylfaen"/>
          <w:b/>
          <w:sz w:val="24"/>
          <w:szCs w:val="24"/>
          <w:shd w:val="clear" w:color="auto" w:fill="FFFFFF"/>
          <w:lang w:val="hy-AM"/>
        </w:rPr>
      </w:pPr>
    </w:p>
    <w:p w14:paraId="0D20AAC7" w14:textId="77777777" w:rsidR="00FF0217" w:rsidRPr="006D515E" w:rsidRDefault="00FF0217" w:rsidP="00FF0217">
      <w:pPr>
        <w:spacing w:line="276" w:lineRule="auto"/>
        <w:jc w:val="both"/>
        <w:rPr>
          <w:rFonts w:ascii="Sylfaen" w:eastAsia="Calibri" w:hAnsi="Sylfaen" w:cs="Times New Roman"/>
          <w:sz w:val="24"/>
          <w:szCs w:val="24"/>
          <w:lang w:val="hy-AM"/>
        </w:rPr>
      </w:pPr>
      <w:r w:rsidRPr="006D515E">
        <w:rPr>
          <w:rFonts w:ascii="Sylfaen" w:eastAsia="Calibri" w:hAnsi="Sylfaen" w:cs="Sylfaen"/>
          <w:sz w:val="24"/>
          <w:szCs w:val="24"/>
          <w:lang w:val="hy-AM"/>
        </w:rPr>
        <w:t xml:space="preserve">      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Թալին</w:t>
      </w:r>
      <w:r w:rsidRPr="006D515E">
        <w:rPr>
          <w:rFonts w:ascii="Sylfaen" w:eastAsia="Calibri" w:hAnsi="Sylfaen" w:cs="Sylfaen"/>
          <w:sz w:val="24"/>
          <w:szCs w:val="24"/>
          <w:lang w:val="hy-AM"/>
        </w:rPr>
        <w:t xml:space="preserve"> 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համայնքի ավագանու քննարկմանը ներկայացվող որոշման նախագիծը մշակվել է ‹‹Տեղական ինքնակառավարման մասին›› ՀՀ օրենքի 18-րդ հոդվածի 1-ին մասի 42-րդ կետով, ՀՀ Հարկային օրենսգրքի 230-րդ հոդվածի 3-րդ կետի և ՀՀ կառավարության 22</w:t>
      </w:r>
      <w:r w:rsidRPr="006D515E">
        <w:rPr>
          <w:rFonts w:ascii="Times New Roman" w:eastAsia="Calibri" w:hAnsi="Times New Roman" w:cs="Times New Roman"/>
          <w:sz w:val="24"/>
          <w:szCs w:val="24"/>
          <w:lang w:val="hy-AM"/>
        </w:rPr>
        <w:t>․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06</w:t>
      </w:r>
      <w:r w:rsidRPr="006D515E">
        <w:rPr>
          <w:rFonts w:ascii="Times New Roman" w:eastAsia="Calibri" w:hAnsi="Times New Roman" w:cs="Times New Roman"/>
          <w:sz w:val="24"/>
          <w:szCs w:val="24"/>
          <w:lang w:val="hy-AM"/>
        </w:rPr>
        <w:t>․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2012թ</w:t>
      </w:r>
      <w:r w:rsidRPr="006D515E">
        <w:rPr>
          <w:rFonts w:ascii="Times New Roman" w:eastAsia="Calibri" w:hAnsi="Times New Roman" w:cs="Times New Roman"/>
          <w:sz w:val="24"/>
          <w:szCs w:val="24"/>
          <w:lang w:val="hy-AM"/>
        </w:rPr>
        <w:t>․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 xml:space="preserve"> N-822-Ն որոշման դրույթներով սահմանված կարգավորումների համատեքստում, </w:t>
      </w:r>
      <w:r w:rsidRPr="006D515E">
        <w:rPr>
          <w:rFonts w:ascii="Sylfaen" w:eastAsia="Consolas" w:hAnsi="Sylfaen" w:cs="Calibri"/>
          <w:sz w:val="24"/>
          <w:szCs w:val="24"/>
          <w:lang w:val="hy-AM"/>
        </w:rPr>
        <w:t xml:space="preserve">հիմք ընդունելով </w:t>
      </w:r>
      <w:r w:rsidRPr="006D515E">
        <w:rPr>
          <w:rFonts w:ascii="Sylfaen" w:eastAsia="Times New Roman" w:hAnsi="Sylfaen" w:cs="GHEA Grapalat"/>
          <w:sz w:val="24"/>
          <w:szCs w:val="24"/>
          <w:lang w:val="hy-AM"/>
        </w:rPr>
        <w:t>Կարինե Բաբկենի Սարգսյանի</w:t>
      </w:r>
      <w:r w:rsidRPr="006D515E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6D515E">
        <w:rPr>
          <w:rFonts w:ascii="Sylfaen" w:eastAsia="Consolas" w:hAnsi="Sylfaen" w:cs="Calibri"/>
          <w:sz w:val="24"/>
          <w:szCs w:val="24"/>
          <w:lang w:val="hy-AM"/>
        </w:rPr>
        <w:t>դիմումը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 xml:space="preserve">։ </w:t>
      </w:r>
    </w:p>
    <w:p w14:paraId="39444EF6" w14:textId="77777777" w:rsidR="00FF0217" w:rsidRPr="006D515E" w:rsidRDefault="00FF0217" w:rsidP="00FF0217">
      <w:pPr>
        <w:autoSpaceDE w:val="0"/>
        <w:autoSpaceDN w:val="0"/>
        <w:adjustRightInd w:val="0"/>
        <w:spacing w:line="276" w:lineRule="auto"/>
        <w:jc w:val="both"/>
        <w:rPr>
          <w:rFonts w:ascii="Sylfaen" w:eastAsia="Calibri" w:hAnsi="Sylfaen" w:cs="Sylfaen"/>
          <w:sz w:val="24"/>
          <w:szCs w:val="24"/>
          <w:lang w:val="hy-AM"/>
        </w:rPr>
      </w:pPr>
      <w:r w:rsidRPr="006D515E">
        <w:rPr>
          <w:rFonts w:ascii="Sylfaen" w:eastAsia="Calibri" w:hAnsi="Sylfaen" w:cs="Times New Roman"/>
          <w:b/>
          <w:bCs/>
          <w:sz w:val="24"/>
          <w:szCs w:val="24"/>
          <w:lang w:val="hy-AM"/>
        </w:rPr>
        <w:t xml:space="preserve">       Իրավական ակտի ընդունման նպատակը և կարգավորման անհրաժեշտությունը.</w:t>
      </w:r>
    </w:p>
    <w:p w14:paraId="0C9615D4" w14:textId="77777777" w:rsidR="00FF0217" w:rsidRPr="006D515E" w:rsidRDefault="00FF0217" w:rsidP="00FF0217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lang w:val="hy-AM"/>
        </w:rPr>
        <w:t xml:space="preserve">Թալին համայնքի Արագածավան բնակավայրի բնակիչ </w:t>
      </w:r>
      <w:r w:rsidRPr="006D515E">
        <w:rPr>
          <w:rFonts w:ascii="Sylfaen" w:eastAsia="Times New Roman" w:hAnsi="Sylfaen" w:cs="GHEA Grapalat"/>
          <w:sz w:val="24"/>
          <w:szCs w:val="24"/>
          <w:lang w:val="hy-AM"/>
        </w:rPr>
        <w:t>Կարինե Բաբկենի Սարգսյան</w:t>
      </w:r>
      <w:r w:rsidRPr="006D515E">
        <w:rPr>
          <w:rFonts w:ascii="Sylfaen" w:hAnsi="Sylfaen"/>
          <w:sz w:val="24"/>
          <w:szCs w:val="24"/>
          <w:lang w:val="hy-AM"/>
        </w:rPr>
        <w:t>ը ներկայացրած դիմումով հայտնել է, որ վճարել է իրեն սեփականության իրավունքով պատկանող անշարժ գույքի հարկի գծով կուտակված ապառքի հիմնական մասը։ Չվճարված ապառքը կազմում է 0 ՀՀ դրամ։ Դիմումատուն խնդրել է հնարավորության դեպքում արտոնություն կիրառել հաշվարկված  50151 ՀՀ դրամ տույժերի նկատմամբ։</w:t>
      </w:r>
    </w:p>
    <w:p w14:paraId="74D00D0D" w14:textId="77777777" w:rsidR="00FF0217" w:rsidRPr="006D515E" w:rsidRDefault="00FF0217" w:rsidP="00FF0217">
      <w:pPr>
        <w:spacing w:after="0" w:line="276" w:lineRule="auto"/>
        <w:jc w:val="both"/>
        <w:rPr>
          <w:rFonts w:ascii="Sylfaen" w:eastAsia="Calibri" w:hAnsi="Sylfaen" w:cs="Times New Roman"/>
          <w:sz w:val="24"/>
          <w:szCs w:val="24"/>
          <w:lang w:val="hy-AM"/>
        </w:rPr>
      </w:pPr>
      <w:r w:rsidRPr="006D515E">
        <w:rPr>
          <w:rFonts w:ascii="Sylfaen" w:eastAsia="Times New Roman" w:hAnsi="Sylfaen" w:cs="Times New Roman"/>
          <w:sz w:val="24"/>
          <w:szCs w:val="24"/>
          <w:lang w:val="hy-AM"/>
        </w:rPr>
        <w:t xml:space="preserve">Ելնելով վերոգրյալից, համայնքի ավագանու քննարկմանն է ներկայացվում </w:t>
      </w:r>
      <w:r w:rsidRPr="006D515E">
        <w:rPr>
          <w:rFonts w:ascii="Sylfaen" w:hAnsi="Sylfaen" w:cs="Times New Roman"/>
          <w:sz w:val="24"/>
          <w:szCs w:val="24"/>
          <w:lang w:val="hy-AM"/>
        </w:rPr>
        <w:t xml:space="preserve">անշարժ գույքի հարկի արտոնություն կիրառելու  </w:t>
      </w:r>
      <w:r w:rsidRPr="006D515E">
        <w:rPr>
          <w:rFonts w:ascii="Sylfaen" w:eastAsia="Times New Roman" w:hAnsi="Sylfaen" w:cs="Times New Roman"/>
          <w:sz w:val="24"/>
          <w:szCs w:val="24"/>
          <w:lang w:val="hy-AM"/>
        </w:rPr>
        <w:t>վերաբերյալ ավագանու որոշման նախագիծը։</w:t>
      </w:r>
    </w:p>
    <w:p w14:paraId="6C919DE9" w14:textId="77777777" w:rsidR="00FF0217" w:rsidRPr="006D515E" w:rsidRDefault="00FF0217" w:rsidP="00FF0217">
      <w:pPr>
        <w:shd w:val="clear" w:color="auto" w:fill="FFFFFF"/>
        <w:spacing w:before="240" w:line="276" w:lineRule="auto"/>
        <w:jc w:val="both"/>
        <w:textAlignment w:val="baseline"/>
        <w:rPr>
          <w:rFonts w:ascii="Sylfaen" w:eastAsia="Calibri" w:hAnsi="Sylfaen" w:cs="Times New Roman"/>
          <w:sz w:val="24"/>
          <w:szCs w:val="24"/>
          <w:lang w:val="hy-AM"/>
        </w:rPr>
      </w:pPr>
      <w:r w:rsidRPr="006D515E">
        <w:rPr>
          <w:rFonts w:ascii="Sylfaen" w:eastAsia="Calibri" w:hAnsi="Sylfaen" w:cs="Times New Roman"/>
          <w:b/>
          <w:bCs/>
          <w:sz w:val="24"/>
          <w:szCs w:val="24"/>
          <w:lang w:val="hy-AM"/>
        </w:rPr>
        <w:t xml:space="preserve">    Իրավական ակտի</w:t>
      </w:r>
      <w:r w:rsidRPr="006D515E">
        <w:rPr>
          <w:rFonts w:ascii="Sylfaen" w:eastAsia="Calibri" w:hAnsi="Sylfaen"/>
          <w:b/>
          <w:bCs/>
          <w:sz w:val="24"/>
          <w:szCs w:val="24"/>
          <w:lang w:val="hy-AM"/>
        </w:rPr>
        <w:t> </w:t>
      </w:r>
      <w:r w:rsidRPr="006D515E">
        <w:rPr>
          <w:rFonts w:ascii="Sylfaen" w:eastAsia="Calibri" w:hAnsi="Sylfaen" w:cs="Times New Roman"/>
          <w:b/>
          <w:bCs/>
          <w:sz w:val="24"/>
          <w:szCs w:val="24"/>
          <w:lang w:val="hy-AM"/>
        </w:rPr>
        <w:t>ընդունման կապակցությամբ այլ իրավական ակտերի ընդունման անհրաժեշտության մասին.</w:t>
      </w:r>
      <w:r w:rsidRPr="006D515E">
        <w:rPr>
          <w:rFonts w:ascii="Sylfaen" w:eastAsia="Calibri" w:hAnsi="Sylfaen" w:cs="Times New Roman"/>
          <w:b/>
          <w:bCs/>
          <w:sz w:val="24"/>
          <w:szCs w:val="24"/>
          <w:lang w:val="hy-AM"/>
        </w:rPr>
        <w:tab/>
      </w:r>
      <w:r w:rsidRPr="006D515E">
        <w:rPr>
          <w:rFonts w:ascii="Sylfaen" w:eastAsia="Calibri" w:hAnsi="Sylfaen" w:cs="Times New Roman"/>
          <w:b/>
          <w:bCs/>
          <w:sz w:val="24"/>
          <w:szCs w:val="24"/>
          <w:lang w:val="hy-AM"/>
        </w:rPr>
        <w:br/>
      </w:r>
      <w:r w:rsidRPr="006D515E">
        <w:rPr>
          <w:rFonts w:ascii="Sylfaen" w:eastAsia="Calibri" w:hAnsi="Sylfaen" w:cs="Sylfaen"/>
          <w:sz w:val="24"/>
          <w:szCs w:val="24"/>
          <w:lang w:val="hy-AM"/>
        </w:rPr>
        <w:t xml:space="preserve">    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Ավագանու</w:t>
      </w:r>
      <w:r w:rsidRPr="006D515E">
        <w:rPr>
          <w:rFonts w:ascii="Sylfaen" w:eastAsia="Calibri" w:hAnsi="Sylfaen" w:cs="Sylfaen"/>
          <w:sz w:val="24"/>
          <w:szCs w:val="24"/>
          <w:lang w:val="hy-AM"/>
        </w:rPr>
        <w:t xml:space="preserve"> 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որոշման</w:t>
      </w:r>
      <w:r w:rsidRPr="006D515E">
        <w:rPr>
          <w:rFonts w:ascii="Sylfaen" w:eastAsia="Calibri" w:hAnsi="Sylfaen" w:cs="Sylfaen"/>
          <w:sz w:val="24"/>
          <w:szCs w:val="24"/>
          <w:lang w:val="hy-AM"/>
        </w:rPr>
        <w:t xml:space="preserve"> 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նախագծի ընդունումն առաջացնում է համայնքի ղեկավարի կողմից այլ իրավական ակտի ընդունման անհրաժեշտություն:</w:t>
      </w:r>
    </w:p>
    <w:p w14:paraId="2963ECF5" w14:textId="77777777" w:rsidR="00FF0217" w:rsidRPr="006D515E" w:rsidRDefault="00FF0217" w:rsidP="00FF0217">
      <w:pPr>
        <w:shd w:val="clear" w:color="auto" w:fill="FFFFFF"/>
        <w:spacing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կապակցությամբ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 xml:space="preserve"> բյուջեում եկամուտների և ծախսերի ավելացման կամ նվազեցման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>Ավագանու որոշման նախագծի ընդունման կապակցությամբ համայնքի բյուջեում նախատեսվում է եկամուտների  նվազեցում</w:t>
      </w:r>
      <w:r w:rsidRPr="006D515E">
        <w:rPr>
          <w:rFonts w:ascii="Sylfaen" w:hAnsi="Sylfaen" w:cs="Arial AMU"/>
          <w:sz w:val="24"/>
          <w:szCs w:val="24"/>
          <w:lang w:val="hy-AM"/>
        </w:rPr>
        <w:t>։</w:t>
      </w:r>
    </w:p>
    <w:p w14:paraId="79862979" w14:textId="77777777" w:rsidR="00FF0217" w:rsidRPr="006D515E" w:rsidRDefault="00FF0217" w:rsidP="00FF0217">
      <w:pPr>
        <w:shd w:val="clear" w:color="auto" w:fill="FFFFFF"/>
        <w:spacing w:line="276" w:lineRule="auto"/>
        <w:jc w:val="both"/>
        <w:textAlignment w:val="baseline"/>
        <w:rPr>
          <w:rFonts w:ascii="Sylfaen" w:eastAsia="Calibri" w:hAnsi="Sylfaen" w:cs="Times New Roman"/>
          <w:b/>
          <w:bCs/>
          <w:sz w:val="24"/>
          <w:szCs w:val="24"/>
          <w:bdr w:val="none" w:sz="0" w:space="0" w:color="auto" w:frame="1"/>
          <w:lang w:val="hy-AM"/>
        </w:rPr>
      </w:pPr>
      <w:r w:rsidRPr="006D515E">
        <w:rPr>
          <w:rFonts w:ascii="Sylfaen" w:eastAsia="Calibri" w:hAnsi="Sylfaen" w:cs="Times New Roman"/>
          <w:b/>
          <w:bCs/>
          <w:sz w:val="24"/>
          <w:szCs w:val="24"/>
          <w:bdr w:val="none" w:sz="0" w:space="0" w:color="auto" w:frame="1"/>
          <w:lang w:val="hy-AM"/>
        </w:rPr>
        <w:t xml:space="preserve">  Նախագծով առաջարկվող կարգավորումների բնույթն ու նպատակը.</w:t>
      </w:r>
      <w:r w:rsidRPr="006D515E">
        <w:rPr>
          <w:rFonts w:ascii="Sylfaen" w:eastAsia="Calibri" w:hAnsi="Sylfaen" w:cs="Times New Roman"/>
          <w:b/>
          <w:bCs/>
          <w:sz w:val="24"/>
          <w:szCs w:val="24"/>
          <w:bdr w:val="none" w:sz="0" w:space="0" w:color="auto" w:frame="1"/>
          <w:lang w:val="hy-AM"/>
        </w:rPr>
        <w:tab/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ab/>
      </w:r>
    </w:p>
    <w:p w14:paraId="2AF2092F" w14:textId="77777777" w:rsidR="00FF0217" w:rsidRPr="006D515E" w:rsidRDefault="00FF0217" w:rsidP="00FF0217">
      <w:pPr>
        <w:spacing w:line="276" w:lineRule="auto"/>
        <w:ind w:right="-1"/>
        <w:jc w:val="both"/>
        <w:rPr>
          <w:rFonts w:ascii="Sylfaen" w:eastAsia="Calibri" w:hAnsi="Sylfaen" w:cs="Times New Roman"/>
          <w:b/>
          <w:bCs/>
          <w:sz w:val="24"/>
          <w:szCs w:val="24"/>
          <w:bdr w:val="none" w:sz="0" w:space="0" w:color="auto" w:frame="1"/>
          <w:lang w:val="hy-AM"/>
        </w:rPr>
      </w:pPr>
      <w:r w:rsidRPr="006D515E">
        <w:rPr>
          <w:rFonts w:ascii="Sylfaen" w:eastAsia="Calibri" w:hAnsi="Sylfaen" w:cs="Times New Roman"/>
          <w:sz w:val="24"/>
          <w:szCs w:val="24"/>
          <w:lang w:val="hy-AM"/>
        </w:rPr>
        <w:t>Նախագիծը կրում է անհատական բնույթ։</w:t>
      </w:r>
      <w:r w:rsidRPr="006D515E">
        <w:rPr>
          <w:rFonts w:ascii="Sylfaen" w:eastAsia="Calibri" w:hAnsi="Sylfaen" w:cs="Times New Roman"/>
          <w:b/>
          <w:bCs/>
          <w:sz w:val="24"/>
          <w:szCs w:val="24"/>
          <w:bdr w:val="none" w:sz="0" w:space="0" w:color="auto" w:frame="1"/>
          <w:lang w:val="hy-AM"/>
        </w:rPr>
        <w:t xml:space="preserve">   </w:t>
      </w:r>
    </w:p>
    <w:p w14:paraId="22571E3A" w14:textId="77777777" w:rsidR="00FF0217" w:rsidRPr="006D515E" w:rsidRDefault="00FF0217" w:rsidP="00FF0217">
      <w:pPr>
        <w:spacing w:line="276" w:lineRule="auto"/>
        <w:ind w:right="-1"/>
        <w:jc w:val="both"/>
        <w:rPr>
          <w:rFonts w:ascii="Sylfaen" w:hAnsi="Sylfaen"/>
          <w:lang w:val="hy-AM"/>
        </w:rPr>
      </w:pPr>
      <w:r w:rsidRPr="006D515E">
        <w:rPr>
          <w:rFonts w:ascii="Sylfaen" w:eastAsia="Calibri" w:hAnsi="Sylfaen" w:cs="Times New Roman"/>
          <w:b/>
          <w:bCs/>
          <w:sz w:val="24"/>
          <w:szCs w:val="24"/>
          <w:bdr w:val="none" w:sz="0" w:space="0" w:color="auto" w:frame="1"/>
          <w:lang w:val="hy-AM"/>
        </w:rPr>
        <w:t xml:space="preserve">   Իրավական ակտի կիրառման դեպքում ակնկալվող արդյունքը.</w:t>
      </w:r>
      <w:r w:rsidRPr="006D515E">
        <w:rPr>
          <w:rFonts w:ascii="Sylfaen" w:eastAsia="Calibri" w:hAnsi="Sylfaen" w:cs="Times New Roman"/>
          <w:b/>
          <w:bCs/>
          <w:sz w:val="24"/>
          <w:szCs w:val="24"/>
          <w:bdr w:val="none" w:sz="0" w:space="0" w:color="auto" w:frame="1"/>
          <w:lang w:val="hy-AM"/>
        </w:rPr>
        <w:tab/>
      </w:r>
      <w:r w:rsidRPr="006D515E">
        <w:rPr>
          <w:rFonts w:ascii="Sylfaen" w:eastAsia="Calibri" w:hAnsi="Sylfaen" w:cs="Times New Roman"/>
          <w:b/>
          <w:bCs/>
          <w:sz w:val="24"/>
          <w:szCs w:val="24"/>
          <w:bdr w:val="none" w:sz="0" w:space="0" w:color="auto" w:frame="1"/>
          <w:lang w:val="hy-AM"/>
        </w:rPr>
        <w:br/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Նախագծի ընդունման արդյունքում ակնկալվում է Թալին համայնքի բյուջեի եկամուտների արդյունավետ  հավաքագրում</w:t>
      </w:r>
      <w:r w:rsidRPr="006D515E">
        <w:rPr>
          <w:rFonts w:ascii="Sylfaen" w:eastAsia="Calibri" w:hAnsi="Sylfaen" w:cs="Times New Roman"/>
          <w:b/>
          <w:bCs/>
          <w:sz w:val="24"/>
          <w:szCs w:val="24"/>
          <w:lang w:val="hy-AM"/>
        </w:rPr>
        <w:t xml:space="preserve"> 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և անշարժ գույքի հարկի գծով արտոնություն է տրամադրվում համայնքի այն քաղաքացիներին, ովքեր օրենսդրությամբ և ավագանու որոշմամբ այդ արտոնությունից օգտվելու իրավունք ունեն։</w:t>
      </w: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AMU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  <w:rsid w:val="00FF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217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2026-10-20T07:48:00Z</dcterms:modified>
</cp:coreProperties>
</file>