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F732" w14:textId="77777777" w:rsidR="00183C3B" w:rsidRPr="006D2328" w:rsidRDefault="00183C3B" w:rsidP="00183C3B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ՏԵՂԵԿԱՆՔ - ՀԻՄՆԱՎՈՐՈՒՄ</w:t>
      </w:r>
    </w:p>
    <w:p w14:paraId="60071B2B" w14:textId="77777777" w:rsidR="00183C3B" w:rsidRPr="006D2328" w:rsidRDefault="00183C3B" w:rsidP="00183C3B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«ԱՐԻ ԹԱԼԻՆ» ԶԲՈՍԱՇՐՋՈՒԹՅԱՆ, ՄԵԴԻԱՅԻ ԵՎ ԵՐԻՏԱՍԱՐԴՈՒԹՅԱՆ ԶԱՐԳԱՑՄԱՆ ՀԱՍԱՐԱԿԱԿԱՆ ԿԱԶՄԱԿԵՐՊՈՒԹՅԱՆԸ ՏԵԽՆԻԿԱԿԱՆ ՍԱՐՔԱՎՈՐՈՒՄՆԵՐ ԵՎ ԳՐԱՍԵՆՅԱԿԱՅԻՆ ԳՈՒՅՔ   ԱՆՀԱՏՈՒՅՑ ՕԳՏԱԳՈՐԾՄԱՄԲ ՏՐԱՄԱԴՐԵԼՈՒ ՎԵՐԱԲԵՐՅԱԼ</w:t>
      </w:r>
    </w:p>
    <w:p w14:paraId="0BAA30F1" w14:textId="77777777" w:rsidR="00183C3B" w:rsidRPr="006D2328" w:rsidRDefault="00183C3B" w:rsidP="00183C3B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B244BBE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Թալին համայնքի ավագանու քննարկմանը ներկայացվող որոշման նախագիծը մշակվել է «Տեղական ինքնակառավարման մասին» ՀՀ օրենքի 18-րդ հոդվածի 1-ին մասի 21-րդ կետով սահմանված կարգավորումների համատեքստում, Հայաստանի Հանրապետության քաղաքացիական օրենսգրքի 688-րդ և 689-րդ հոդվածների պահանջների հաշվառմամբ, հիմք ընդունելով «Արի Թալին» զբոսաշրջության, մեդիայի և երիտասարդության զարգացման հասարակական կազմակերպության գործադիր մարմնի ղեկավար Գրիգոր Սաֆարյանի դիմումները, հաշվի առնելով համայնքի ղեկավարի առաջարկությունը</w:t>
      </w: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A7A88B8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անհրաժեշտությունը։</w:t>
      </w:r>
    </w:p>
    <w:p w14:paraId="29DBECBD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Նախագծի նպատակն է ապահովել Թալին համայնքում զբոսաշրջության, մեդիայի և երիտասարդության զարգացմանն ուղղված գործունեության խթանումը՝ համայնքի սեփականություն հանդիսացող տեխնիկական սարքավորումները «Արի Թալին» զբոսաշրջության, մեդիայի և երիտասարդության զարգացման հասարակական կազմակերպությանը անհատույց օգտագործմամբ տրամադրելու միջոցով։</w:t>
      </w:r>
    </w:p>
    <w:p w14:paraId="7515C5BB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Նախագիծն ուղղված է համայնքի մշակութային կյանքի, զբոսաշրջության զարգացման, երիտասարդական նախաձեռնությունների, պետական և համայնքային միջոցառումների լուսաբանմանն ու տարածմանը։ Տրամադրվող սարքավորումները նախատեսվում է օգտագործել բացառապես նպատակային նշանակությամբ և կազմակերպության կանոնադրությամբ նշված նպատակների իրականացման համար։</w:t>
      </w:r>
    </w:p>
    <w:p w14:paraId="5F4F842D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 այլ իրավական ակտերի ընդունման անհրաժեշտության մասին.</w:t>
      </w:r>
    </w:p>
    <w:p w14:paraId="088EAC42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Ավագանու որոշման նախագծի ընդունումն առաջացնում է այլ իրավական ակտերի ընդունման և համապատասխան փաստաթղթերի կազմման անհրաժեշտություն՝ գույքի անհատույց օգտագործման պայմանագրի կնքում և գույքի հանձնման-ընդունման ակտի կազմում։</w:t>
      </w:r>
    </w:p>
    <w:p w14:paraId="647327C2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30C917C4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Նախագծի ընդունումը Թալին համայնքի բյուջեում եկամուտների և ծախսերի ավելացում կամ նվազեցում չի առաջացնում։ Գույքը տրամադրվում է անհատույց օգտագործման իրավունքով, իսկ օգտագործման ընթացքում գույքի պատշաճ պահպանման և նպատակային շահագործման պարտավորությունը կրում է օգտագործող կազմակերպությունը։</w:t>
      </w:r>
    </w:p>
    <w:p w14:paraId="2DA18F53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Նախագծով առաջարկվող կարգավորումների բնույթն ու նպատակը</w:t>
      </w:r>
    </w:p>
    <w:p w14:paraId="2A0423D1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Նախագիծը կրում է անհատական բնույթ, քանի որ վերաբերում է միայն դրանում նշված կազմակերպությանը։</w:t>
      </w:r>
    </w:p>
    <w:p w14:paraId="7BDED965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1.</w:t>
      </w:r>
      <w:r w:rsidRPr="006D2328">
        <w:rPr>
          <w:rFonts w:ascii="Sylfaen" w:hAnsi="Sylfaen"/>
          <w:sz w:val="24"/>
          <w:szCs w:val="24"/>
          <w:lang w:val="hy-AM"/>
        </w:rPr>
        <w:tab/>
        <w:t>Մեդիայի զարգացման ուղղություն</w:t>
      </w:r>
    </w:p>
    <w:p w14:paraId="2F46FB0B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Համայնքային, մշակութային, զբոսաշրջային և երիտասարդական միջոցառումների լուսաբանման հնարավորությունների ընդլայնում։</w:t>
      </w:r>
    </w:p>
    <w:p w14:paraId="51199881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Թալին համայնքի ճանաչելիության բարձրացում մեդիա հարթակների միջոցով։</w:t>
      </w:r>
    </w:p>
    <w:p w14:paraId="5DFC7FF4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2.</w:t>
      </w:r>
      <w:r w:rsidRPr="006D2328">
        <w:rPr>
          <w:rFonts w:ascii="Sylfaen" w:hAnsi="Sylfaen"/>
          <w:sz w:val="24"/>
          <w:szCs w:val="24"/>
          <w:lang w:val="hy-AM"/>
        </w:rPr>
        <w:tab/>
        <w:t>Զբոսաշրջության և մշակութային կյանքի զարգացման ուղղություն</w:t>
      </w:r>
    </w:p>
    <w:p w14:paraId="3AC58D7B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lastRenderedPageBreak/>
        <w:t>• Համայնքի զբոսաշրջային ներուժի, պատմամշակութային արժեքների և համայնքային միջոցառումների հանրայնացում։</w:t>
      </w:r>
    </w:p>
    <w:p w14:paraId="47D1795B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Թալին համայնքի բնակավայրերի, մշակութային կյանքի և հանրային նախաձեռնությունների տեսանելիության բարձրացում։</w:t>
      </w:r>
    </w:p>
    <w:p w14:paraId="4A297173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Համայնքում իրականացվող ծրագրերի, միջոցառումների և նախաձեռնությունների վերաբերյալ տեղեկատվության տարածում։</w:t>
      </w:r>
    </w:p>
    <w:p w14:paraId="32F21701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3.</w:t>
      </w:r>
      <w:r w:rsidRPr="006D2328">
        <w:rPr>
          <w:rFonts w:ascii="Sylfaen" w:hAnsi="Sylfaen"/>
          <w:sz w:val="24"/>
          <w:szCs w:val="24"/>
          <w:lang w:val="hy-AM"/>
        </w:rPr>
        <w:tab/>
        <w:t>Երիտասարդության զարգացման ուղղություն</w:t>
      </w:r>
    </w:p>
    <w:p w14:paraId="0C694D1F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Երիտասարդների ներգրավվածության խթանում մեդիա, մշակութային, հասարակական և զբոսաշրջային նախաձեռնություններում։</w:t>
      </w:r>
    </w:p>
    <w:p w14:paraId="3EC043E0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Երիտասարդների ստեղծագործական և մասնագիտական կարողությունների զարգացման համար անհրաժեշտ պայմանների ստեղծում։</w:t>
      </w:r>
    </w:p>
    <w:p w14:paraId="70F8C941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Երիտասարդների մասնակցության բարձրացում համայնքային կյանքի լուսաբանման և հանրայնացման գործընթացներում։</w:t>
      </w:r>
    </w:p>
    <w:p w14:paraId="134DBD80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286B86C8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Համայնքային, մշակութային, զբոսաշրջային և երիտասարդական միջոցառումների լուսաբանման որակի բարձրացում։</w:t>
      </w:r>
    </w:p>
    <w:p w14:paraId="401E71BC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Թալին համայնքի ճանաչելիության բարձրացում և համայնքի վերաբերյալ տեղեկատվության առավել արդյունավետ տարածում։</w:t>
      </w:r>
    </w:p>
    <w:p w14:paraId="6AFE1349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Երիտասարդների ներգրավվածության աճ մեդիա և հասարակական գործունեության ոլորտներում։</w:t>
      </w:r>
    </w:p>
    <w:p w14:paraId="3036B721" w14:textId="77777777" w:rsidR="00183C3B" w:rsidRPr="006D2328" w:rsidRDefault="00183C3B" w:rsidP="00183C3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Համայնքային գույքի նպատակային, արդյունավետ և վերահսկելի օգտագործում։</w:t>
      </w:r>
    </w:p>
    <w:p w14:paraId="3E1C3E23" w14:textId="77777777" w:rsidR="00183C3B" w:rsidRPr="006D2328" w:rsidRDefault="00183C3B" w:rsidP="00183C3B">
      <w:pPr>
        <w:spacing w:line="240" w:lineRule="auto"/>
        <w:rPr>
          <w:rFonts w:ascii="Sylfaen" w:hAnsi="Sylfaen"/>
          <w:sz w:val="20"/>
          <w:szCs w:val="20"/>
          <w:lang w:val="hy-AM"/>
        </w:rPr>
      </w:pPr>
    </w:p>
    <w:p w14:paraId="5C8893B0" w14:textId="77777777" w:rsidR="00183C3B" w:rsidRPr="006D2328" w:rsidRDefault="00183C3B" w:rsidP="00183C3B">
      <w:pPr>
        <w:rPr>
          <w:rFonts w:ascii="Sylfaen" w:hAnsi="Sylfaen"/>
          <w:sz w:val="24"/>
          <w:szCs w:val="24"/>
          <w:lang w:val="hy-AM"/>
        </w:rPr>
      </w:pPr>
    </w:p>
    <w:p w14:paraId="7E96B202" w14:textId="77777777" w:rsidR="00183C3B" w:rsidRPr="006D2328" w:rsidRDefault="00183C3B" w:rsidP="00183C3B">
      <w:pPr>
        <w:rPr>
          <w:rFonts w:ascii="Sylfaen" w:hAnsi="Sylfaen"/>
          <w:sz w:val="24"/>
          <w:szCs w:val="24"/>
          <w:lang w:val="hy-AM"/>
        </w:rPr>
      </w:pPr>
    </w:p>
    <w:p w14:paraId="1EEB7C3B" w14:textId="77777777" w:rsidR="00D970A3" w:rsidRPr="00183C3B" w:rsidRDefault="00D970A3" w:rsidP="00183C3B">
      <w:pPr>
        <w:rPr>
          <w:lang w:val="hy-AM"/>
        </w:rPr>
      </w:pPr>
    </w:p>
    <w:sectPr w:rsidR="00D970A3" w:rsidRPr="00183C3B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183C3B"/>
    <w:rsid w:val="00217A25"/>
    <w:rsid w:val="007B73BE"/>
    <w:rsid w:val="00A73C84"/>
    <w:rsid w:val="00D970A3"/>
    <w:rsid w:val="00F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3B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11</cp:revision>
  <dcterms:created xsi:type="dcterms:W3CDTF">2026-06-22T06:08:00Z</dcterms:created>
  <dcterms:modified xsi:type="dcterms:W3CDTF">2026-06-22T06:25:00Z</dcterms:modified>
</cp:coreProperties>
</file>