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7B8C" w14:textId="77777777" w:rsidR="0073679D" w:rsidRPr="00D004F1" w:rsidRDefault="0073679D" w:rsidP="0073679D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6BF455B1" w14:textId="77777777" w:rsidR="0073679D" w:rsidRPr="00D004F1" w:rsidRDefault="0073679D" w:rsidP="0073679D">
      <w:pPr>
        <w:pStyle w:val="20"/>
        <w:spacing w:after="180" w:line="36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ՀԱՆԴԻՍԱՑՈՂ  ՀՈՂԱՄԱՍԵՐԸ </w:t>
      </w:r>
      <w:r w:rsidRPr="00D004F1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D004F1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17884B1C" w14:textId="77777777" w:rsidR="0073679D" w:rsidRPr="00D004F1" w:rsidRDefault="0073679D" w:rsidP="0073679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D004F1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,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ՀՀ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հողային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օրենսգրքի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57-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հոդվածի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1-ին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և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2-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մասերի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>, 76-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հոդվածի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,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ՀՀ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կառավարության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12.04.2001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թ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. 286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որոշմամբ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հաստատված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«Պետական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և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համայնքային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սեփականություն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հանդիսացող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հողամասերի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տրամադրման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կարգ»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>-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ի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46-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 w:eastAsia="ru-RU"/>
        </w:rPr>
        <w:t>հոդվածի</w:t>
      </w:r>
      <w:r w:rsidRPr="00D004F1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62B6228C" w14:textId="77777777" w:rsidR="0073679D" w:rsidRPr="00D004F1" w:rsidRDefault="0073679D" w:rsidP="0073679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058499A" w14:textId="77777777" w:rsidR="0073679D" w:rsidRPr="00D004F1" w:rsidRDefault="0073679D" w:rsidP="0073679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D004F1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վարձակալության իրավունքով օգտագործման տրամադրել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560C4C45" w14:textId="77777777" w:rsidR="0073679D" w:rsidRPr="00D004F1" w:rsidRDefault="0073679D" w:rsidP="0073679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D004F1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30D6DD2B" w14:textId="77777777" w:rsidR="0073679D" w:rsidRPr="00D004F1" w:rsidRDefault="0073679D" w:rsidP="0073679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3DEF8447" w14:textId="77777777" w:rsidR="0073679D" w:rsidRPr="00D004F1" w:rsidRDefault="0073679D" w:rsidP="0073679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D004F1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28B2607A" w14:textId="77777777" w:rsidR="0073679D" w:rsidRPr="00D004F1" w:rsidRDefault="0073679D" w:rsidP="0073679D">
      <w:pPr>
        <w:shd w:val="clear" w:color="auto" w:fill="FFFFFF"/>
        <w:spacing w:after="0"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5E2BE323" w14:textId="77777777" w:rsidR="0073679D" w:rsidRPr="00D004F1" w:rsidRDefault="0073679D" w:rsidP="0073679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54B5A61B" w14:textId="77777777" w:rsidR="0073679D" w:rsidRPr="00D004F1" w:rsidRDefault="0073679D" w:rsidP="0073679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lastRenderedPageBreak/>
        <w:t>Իրավական ակտի կիրառման դեպքում ակնկալվող արդյունքը.</w:t>
      </w: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  <w:r w:rsidRPr="00D004F1">
        <w:rPr>
          <w:rFonts w:ascii="Sylfaen" w:hAnsi="Sylfaen"/>
          <w:sz w:val="24"/>
          <w:szCs w:val="24"/>
          <w:lang w:val="hy-AM"/>
        </w:rPr>
        <w:tab/>
      </w:r>
    </w:p>
    <w:p w14:paraId="57B24554" w14:textId="77777777" w:rsidR="0073679D" w:rsidRPr="00D004F1" w:rsidRDefault="0073679D" w:rsidP="0073679D">
      <w:pPr>
        <w:spacing w:after="0" w:line="276" w:lineRule="auto"/>
        <w:rPr>
          <w:rFonts w:ascii="Sylfaen" w:hAnsi="Sylfaen" w:cs="Sylfaen"/>
          <w:sz w:val="14"/>
          <w:szCs w:val="14"/>
          <w:lang w:val="hy-AM"/>
        </w:rPr>
      </w:pPr>
    </w:p>
    <w:p w14:paraId="279CF207" w14:textId="77777777" w:rsidR="00C25B47" w:rsidRPr="0073679D" w:rsidRDefault="00C25B47">
      <w:pPr>
        <w:rPr>
          <w:lang w:val="hy-AM"/>
        </w:rPr>
      </w:pPr>
    </w:p>
    <w:sectPr w:rsidR="00C25B47" w:rsidRPr="0073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25"/>
    <w:rsid w:val="0073679D"/>
    <w:rsid w:val="00C25B47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679D"/>
    <w:rPr>
      <w:b/>
      <w:bCs/>
    </w:rPr>
  </w:style>
  <w:style w:type="character" w:customStyle="1" w:styleId="2">
    <w:name w:val="Основной текст (2)_"/>
    <w:basedOn w:val="a0"/>
    <w:link w:val="20"/>
    <w:locked/>
    <w:rsid w:val="0073679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73679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2026-05-22T11:58:00Z</dcterms:created>
  <dcterms:modified xsi:type="dcterms:W3CDTF">2026-05-22T11:58:00Z</dcterms:modified>
</cp:coreProperties>
</file>