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EB" w:rsidRDefault="00005DEB" w:rsidP="00005DEB">
      <w:pPr>
        <w:ind w:firstLine="720"/>
        <w:jc w:val="right"/>
        <w:rPr>
          <w:rFonts w:ascii="Sylfaen" w:hAnsi="Sylfaen" w:cs="Sylfaen"/>
          <w:bCs/>
          <w:sz w:val="16"/>
          <w:szCs w:val="16"/>
          <w:lang w:val="fr-FR"/>
        </w:rPr>
      </w:pPr>
    </w:p>
    <w:p w:rsidR="00005DEB" w:rsidRPr="008219E5" w:rsidRDefault="00005DEB" w:rsidP="00005DEB">
      <w:pPr>
        <w:ind w:firstLine="720"/>
        <w:jc w:val="right"/>
        <w:rPr>
          <w:rFonts w:ascii="Sylfaen" w:hAnsi="Sylfaen" w:cs="Sylfaen"/>
          <w:bCs/>
          <w:sz w:val="16"/>
          <w:szCs w:val="16"/>
          <w:lang w:val="fr-FR"/>
        </w:rPr>
      </w:pPr>
      <w:r w:rsidRPr="00586A1B">
        <w:rPr>
          <w:rFonts w:ascii="Sylfaen" w:hAnsi="Sylfaen" w:cs="Sylfaen"/>
          <w:bCs/>
          <w:sz w:val="16"/>
          <w:szCs w:val="16"/>
          <w:lang w:val="fr-FR"/>
        </w:rPr>
        <w:t xml:space="preserve">Հավելված </w:t>
      </w:r>
      <w:r w:rsidRPr="00586A1B">
        <w:rPr>
          <w:rFonts w:ascii="Sylfaen" w:hAnsi="Sylfaen" w:cs="Sylfaen"/>
          <w:bCs/>
          <w:sz w:val="16"/>
          <w:szCs w:val="16"/>
          <w:lang w:val="fr-FR"/>
        </w:rPr>
        <w:br/>
        <w:t xml:space="preserve">Թալին  համայնքի ավագանու </w:t>
      </w:r>
      <w:r w:rsidRPr="00586A1B">
        <w:rPr>
          <w:rFonts w:ascii="Sylfaen" w:hAnsi="Sylfaen" w:cs="Sylfaen"/>
          <w:bCs/>
          <w:sz w:val="16"/>
          <w:szCs w:val="16"/>
          <w:lang w:val="fr-FR"/>
        </w:rPr>
        <w:br/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fr-FR"/>
        </w:rPr>
        <w:t>202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2թ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fr-FR"/>
        </w:rPr>
        <w:t>.-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hy-AM"/>
        </w:rPr>
        <w:t>ի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նոյեմբերի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28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fr-FR"/>
        </w:rPr>
        <w:t>-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ի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hAnsi="Sylfaen"/>
          <w:sz w:val="16"/>
          <w:szCs w:val="16"/>
          <w:lang w:val="hy-AM"/>
        </w:rPr>
        <w:t>N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hy-AM"/>
        </w:rPr>
        <w:t>49</w:t>
      </w:r>
      <w:r w:rsidRPr="008219E5">
        <w:rPr>
          <w:rFonts w:ascii="Sylfaen" w:eastAsia="Times New Roman" w:hAnsi="Sylfaen" w:cs="Times New Roman"/>
          <w:color w:val="000000"/>
          <w:sz w:val="16"/>
          <w:szCs w:val="16"/>
          <w:lang w:val="fr-FR"/>
        </w:rPr>
        <w:t>-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Ն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fr-FR"/>
        </w:rPr>
        <w:t xml:space="preserve"> </w:t>
      </w:r>
      <w:r w:rsidRPr="008219E5">
        <w:rPr>
          <w:rFonts w:ascii="Sylfaen" w:eastAsia="Times New Roman" w:hAnsi="Sylfaen" w:cs="Sylfaen"/>
          <w:color w:val="000000"/>
          <w:sz w:val="16"/>
          <w:szCs w:val="16"/>
          <w:lang w:val="hy-AM"/>
        </w:rPr>
        <w:t>որոշման</w:t>
      </w:r>
    </w:p>
    <w:p w:rsidR="00005DEB" w:rsidRPr="00586A1B" w:rsidRDefault="00005DEB" w:rsidP="00005DEB">
      <w:pPr>
        <w:shd w:val="clear" w:color="auto" w:fill="FFFFFF"/>
        <w:ind w:firstLine="375"/>
        <w:rPr>
          <w:rFonts w:ascii="Sylfaen" w:hAnsi="Sylfaen" w:cs="Arial"/>
          <w:color w:val="000000"/>
          <w:sz w:val="21"/>
          <w:szCs w:val="21"/>
          <w:lang w:val="hy-AM"/>
        </w:rPr>
      </w:pPr>
      <w:r w:rsidRPr="00586A1B">
        <w:rPr>
          <w:rFonts w:ascii="Sylfaen" w:hAnsi="Sylfaen" w:cs="Arial"/>
          <w:color w:val="000000"/>
          <w:sz w:val="21"/>
          <w:szCs w:val="21"/>
          <w:lang w:val="hy-AM"/>
        </w:rPr>
        <w:t> </w:t>
      </w:r>
    </w:p>
    <w:p w:rsidR="00005DEB" w:rsidRPr="001E19FD" w:rsidRDefault="00005DEB" w:rsidP="00FC61B6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1E19FD">
        <w:rPr>
          <w:rFonts w:ascii="Sylfaen" w:hAnsi="Sylfaen"/>
          <w:b/>
          <w:bCs/>
          <w:color w:val="000000"/>
          <w:sz w:val="24"/>
          <w:szCs w:val="24"/>
          <w:lang w:val="hy-AM"/>
        </w:rPr>
        <w:t>Կ Ա Ր Գ</w:t>
      </w:r>
    </w:p>
    <w:p w:rsidR="00005DEB" w:rsidRPr="001E19FD" w:rsidRDefault="00005DEB" w:rsidP="00FC61B6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 w:rsidRPr="001E19FD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>ՀՀ  ԱՐԱԳԱԾՈՏՆԻ  ՄԱՐԶԻ ԹԱԼԻՆ  ՀԱՄԱՅՆՔԻ ԱՐՈՏԱՎԱՅՐԵՐԻ ԵՎ  ԽՈՏՀԱՐՔՆԵՐԻ  ՕԳՏԱԳՈՐԾՄԱՆ</w:t>
      </w:r>
    </w:p>
    <w:p w:rsidR="00005DEB" w:rsidRPr="00586A1B" w:rsidRDefault="00005DEB" w:rsidP="00FC61B6">
      <w:pPr>
        <w:shd w:val="clear" w:color="auto" w:fill="FFFFFF"/>
        <w:ind w:firstLine="375"/>
        <w:jc w:val="center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b/>
          <w:bCs/>
          <w:color w:val="000000"/>
          <w:sz w:val="21"/>
          <w:lang w:val="hy-AM"/>
        </w:rPr>
        <w:t>I. ԸՆԴՀԱՆՈՒՐ ԴՐՈՒՅԹՆԵՐ</w:t>
      </w:r>
    </w:p>
    <w:p w:rsidR="00005DEB" w:rsidRPr="00586A1B" w:rsidRDefault="00005DEB" w:rsidP="00FC61B6">
      <w:pPr>
        <w:shd w:val="clear" w:color="auto" w:fill="FFFFFF"/>
        <w:ind w:firstLine="375"/>
        <w:jc w:val="both"/>
        <w:rPr>
          <w:rFonts w:ascii="Sylfaen" w:hAnsi="Sylfaen"/>
          <w:color w:val="000000"/>
          <w:lang w:val="hy-AM"/>
        </w:rPr>
      </w:pPr>
      <w:r w:rsidRPr="00586A1B">
        <w:rPr>
          <w:rFonts w:ascii="Sylfaen" w:hAnsi="Sylfaen"/>
          <w:color w:val="000000"/>
          <w:lang w:val="hy-AM"/>
        </w:rPr>
        <w:t>1. Սույն կարգով սահմանվում են համայնքային սեփականություն հան</w:t>
      </w:r>
      <w:bookmarkStart w:id="0" w:name="_GoBack"/>
      <w:bookmarkEnd w:id="0"/>
      <w:r w:rsidRPr="00586A1B">
        <w:rPr>
          <w:rFonts w:ascii="Sylfaen" w:hAnsi="Sylfaen"/>
          <w:color w:val="000000"/>
          <w:lang w:val="hy-AM"/>
        </w:rPr>
        <w:t>դիսացող հողերի վրա գտնվող արոտավայրերի և խոտհարքների կառավարման և արդյունավետ օգտագործման պայմանները: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2. Սույն կարգի նպատակներն ու խնդիրներն են`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1) Թալին համայնքի արոտավայրերի և խոտհարքների պահպանության և կայուն ու արդյունավետ օգտագործման գործընթացներին նպաստումը.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2) արոտավայրերի և խոտհարքների բերքատվության բարձրացման և վերականգնման համար նպաստավոր պայմանների ստեղծումը.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3) արոտավայրերի և խոտհարքների որակական բնութագրերի և բնապահպանական վիճակի վատթարացման կանխումը.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4) արոտավայրերի և խոտհարքների սանիտարական վիճակում պահպանության ապահովմանը նպաստելը: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3. Մինչև արոտավայրերի օգտագործումը կազմվում է արոտավայրերի օգտագործման պլան` հաշվի առնելով արածեցվող կենդանիների թվաքանակը և արոտավայրերի բերքատվությունը: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4. Արոտավայրերի կայուն և արդյունավետ օգտագործման նպատակով կիրառվում է արոտաշրջանառություն` հետևյալ սկզբունքներով`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1) մինչև արոտային շրջանի սկսվելն ընդհանուր արոտավայրը բաժանվում է առանձին արոտամասերի (արոտաբաժինների), որոնք արածեցվում են որոշակի հերթականությամբ.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2) արածեցման հերթականությունը յուրաքանչյուր տարի փոփոխվում է.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3) նախորդ տարվա վերջին արածեցված արոտամասը հաջորդ տարում չի արածեցվում, թողնվում է «հանգստի»: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5. Արոտային շրջանի սկիզբը և ավարտը սահմանվում է յուրաքանչյուր տարի` ելնելով տվյալ տարվա կլիմայական պայմաններից: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6. Արոտային շրջանի տևողությունը հանրապետության ցածրադիր, հարթավայրային և նախալեռնային գոտիներում կազմում է` խոշոր եղջերավոր կենդանիների համար` 210-240 օր, մանր եղջերավոր կենդանիների համար` 270-300 օր, իսկ բարձր լեռնային գոտիներում համապատասխանաբար` 150-170 օր և 180-210 օր: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7. Միևնույն արոտատարածքում ամբողջական բոլորապտույտով արածեցումների թիվն ամբողջ արոտային շրջանում սահմանվում է`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1) կիսաանապատային և չոր տափաստանային գոտիներում` 2-3 անգամ.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2) տափաստանային գոտում` 3-4 անգամ.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lastRenderedPageBreak/>
        <w:t>3) մարգագետնատափաստանային և հետանտառային գոտիներում` 4-5 անգամ.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4) ենթալպյան գոտում` 5-6 անգամ.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5) ալպյան գոտում` 3 անգամ: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8. Կենդանիների արածեցումն սկսվում է գարնանը բույսերի վերաճն սկսվելուց 15-18 օր հետո, երբ արոտավայրում բույսերը հասել են հասունացման, իսկ արոտականաչի բարձրությունը հողի մակերեսից կազմում է`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1) կիսաանապատային, չոր տափաստանային և ալպյան գոտիներում` 6-8 սմ.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2) տափաստանային գոտում` 10-12 սմ.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3) մարգագետնատափաստանային, հետանտառային և ենթալպյան գոտիներում` 12-15 սմ բարձրություն: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9. Մեծ թեքություններում (15</w:t>
      </w:r>
      <w:r w:rsidRPr="00586A1B">
        <w:rPr>
          <w:rFonts w:ascii="Sylfaen" w:hAnsi="Sylfaen"/>
          <w:color w:val="000000"/>
          <w:sz w:val="15"/>
          <w:szCs w:val="15"/>
          <w:vertAlign w:val="superscript"/>
          <w:lang w:val="hy-AM"/>
        </w:rPr>
        <w:t>0</w:t>
      </w:r>
      <w:r w:rsidRPr="00586A1B">
        <w:rPr>
          <w:rFonts w:ascii="Sylfaen" w:hAnsi="Sylfaen" w:cs="Arial"/>
          <w:color w:val="000000"/>
          <w:sz w:val="21"/>
          <w:szCs w:val="21"/>
          <w:lang w:val="hy-AM"/>
        </w:rPr>
        <w:t> </w:t>
      </w:r>
      <w:r w:rsidRPr="00586A1B">
        <w:rPr>
          <w:rFonts w:ascii="Sylfaen" w:hAnsi="Sylfaen" w:cs="Arial Unicode"/>
          <w:color w:val="000000"/>
          <w:sz w:val="21"/>
          <w:szCs w:val="21"/>
          <w:lang w:val="hy-AM"/>
        </w:rPr>
        <w:t>և բարձր), որտեղ առկա է հողատարման (էրոզիա) վտանգ և բուսածածկը համեմատաբար թույլ է, արածեցումը կատար</w:t>
      </w:r>
      <w:r w:rsidRPr="00586A1B">
        <w:rPr>
          <w:rFonts w:ascii="Sylfaen" w:hAnsi="Sylfaen"/>
          <w:color w:val="000000"/>
          <w:sz w:val="21"/>
          <w:szCs w:val="21"/>
          <w:lang w:val="hy-AM"/>
        </w:rPr>
        <w:t>վում է սահմանված ժամկետից 10-12 օր անց: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10. Կենդանիների արածեցման համար հատկացվող արոտատարածքի մակերեսը սահմանվում է` ելնելով արոտային թույլատրելի բեռնվածությունից: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/>
          <w:color w:val="000000"/>
          <w:sz w:val="21"/>
          <w:szCs w:val="21"/>
          <w:lang w:val="hy-AM"/>
        </w:rPr>
        <w:t>11. Արոտային թույլատրելի բեռնվածությունն արտահայտվում է մեկ հեկտարի վրա տեղաբաշխվող պայմանական անասնագլխաքանակով և որոշվում հետևյալ բանաձևով`</w:t>
      </w:r>
    </w:p>
    <w:p w:rsidR="00005DEB" w:rsidRPr="00586A1B" w:rsidRDefault="00005DEB" w:rsidP="00FC61B6">
      <w:pPr>
        <w:shd w:val="clear" w:color="auto" w:fill="FFFFFF"/>
        <w:ind w:firstLine="375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586A1B">
        <w:rPr>
          <w:rFonts w:ascii="Sylfaen" w:hAnsi="Sylfaen" w:cs="Arial"/>
          <w:color w:val="000000"/>
          <w:sz w:val="21"/>
          <w:szCs w:val="21"/>
          <w:lang w:val="hy-AM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74"/>
      </w:tblGrid>
      <w:tr w:rsidR="00005DEB" w:rsidRPr="00586A1B" w:rsidTr="002512E3">
        <w:trPr>
          <w:tblCellSpacing w:w="0" w:type="dxa"/>
        </w:trPr>
        <w:tc>
          <w:tcPr>
            <w:tcW w:w="1065" w:type="dxa"/>
            <w:vMerge w:val="restart"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  <w:r w:rsidRPr="00586A1B">
              <w:rPr>
                <w:rFonts w:ascii="Sylfaen" w:hAnsi="Sylfaen"/>
                <w:color w:val="000000"/>
                <w:sz w:val="21"/>
                <w:szCs w:val="21"/>
              </w:rPr>
              <w:t>ԱԹԲ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  <w:r w:rsidRPr="00586A1B">
              <w:rPr>
                <w:rFonts w:ascii="Sylfaen" w:hAnsi="Sylfaen" w:cs="Arial"/>
                <w:color w:val="000000"/>
                <w:sz w:val="21"/>
                <w:szCs w:val="21"/>
              </w:rPr>
              <w:t>  </w:t>
            </w:r>
            <w:r w:rsidRPr="00586A1B">
              <w:rPr>
                <w:rFonts w:ascii="Sylfaen" w:hAnsi="Sylfaen" w:cs="Arial Unicode"/>
                <w:color w:val="000000"/>
                <w:sz w:val="21"/>
                <w:szCs w:val="21"/>
              </w:rPr>
              <w:t xml:space="preserve"> </w:t>
            </w:r>
            <w:r w:rsidRPr="00586A1B">
              <w:rPr>
                <w:rFonts w:ascii="Sylfaen" w:hAnsi="Sylfaen"/>
                <w:color w:val="000000"/>
                <w:sz w:val="21"/>
                <w:szCs w:val="21"/>
              </w:rPr>
              <w:t>Բ</w:t>
            </w:r>
          </w:p>
        </w:tc>
      </w:tr>
      <w:tr w:rsidR="00005DEB" w:rsidRPr="00586A1B" w:rsidTr="002512E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spacing w:beforeAutospacing="1" w:afterAutospacing="1"/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  <w:r w:rsidRPr="00586A1B">
              <w:rPr>
                <w:rFonts w:ascii="Sylfaen" w:hAnsi="Sylfaen"/>
                <w:color w:val="000000"/>
                <w:sz w:val="21"/>
                <w:szCs w:val="21"/>
              </w:rPr>
              <w:t>——,</w:t>
            </w:r>
          </w:p>
        </w:tc>
      </w:tr>
      <w:tr w:rsidR="00005DEB" w:rsidRPr="00586A1B" w:rsidTr="002512E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DEB" w:rsidRPr="00586A1B" w:rsidRDefault="00005DEB" w:rsidP="00FC61B6">
            <w:pPr>
              <w:jc w:val="both"/>
              <w:rPr>
                <w:rFonts w:ascii="Sylfaen" w:hAnsi="Sylfaen"/>
                <w:color w:val="000000"/>
                <w:sz w:val="21"/>
                <w:szCs w:val="21"/>
              </w:rPr>
            </w:pPr>
            <w:r w:rsidRPr="00586A1B">
              <w:rPr>
                <w:rFonts w:ascii="Sylfaen" w:hAnsi="Sylfaen"/>
                <w:color w:val="000000"/>
                <w:sz w:val="21"/>
                <w:szCs w:val="21"/>
              </w:rPr>
              <w:t>Պ x Տ</w:t>
            </w:r>
          </w:p>
        </w:tc>
      </w:tr>
    </w:tbl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ԱԹԲ-ն`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թույլատրելի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բեռնվածությունն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է,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Բ-ն` 1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բերքատվությունն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խոնավ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արոտականաչի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զանգվածը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կգ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/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,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Պ-ն` 1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պայմանական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անասնագլխաքանակի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օրվա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արոտակերի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պահանջն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կգ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,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Տ-ն`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շրջանի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տևողությունը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օրերով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12.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բեռնվածության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որոշման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նպատակով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մեկ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պայմանական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կենդանու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գլխաքանակին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տարբեր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գյուղատնտեսական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հավասարեցվում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հետևյալ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գործակիցներով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արտադրող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ցուլ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1.0.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խոշոր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եղջերավոր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սեռահասակային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այլ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խմբերի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0.66.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3)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մանր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եղջերավոր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0.1: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13.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Մեկ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պայմանական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գլխաքանակի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ամբողջ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շրջանում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անհրաժեշտ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արոտատարածքը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կազմում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կիսաանապատային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6-7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2-2.5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3)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մարգագետնատափաստանային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հետանտառային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գոտիներում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1.5-1.7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4)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ենթալպյան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1-1.2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5)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2-2.5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lastRenderedPageBreak/>
        <w:t xml:space="preserve">14.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արդյունավետ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եղանակը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հերթափոխային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համակարգված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արածեցումն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կիրառման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արոտատարածքը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պետք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բաժանել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որոնց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մեծությունը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100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պայմանական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անասնագլխաքանակ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ընդգրկող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նախրի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կազմում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կիսաանապատային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չոր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40-60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20-40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3)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մարգագետնատափաստանային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հետանտառային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20-30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4)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ենթալպյան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10-20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15.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Հերթափոխային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համակարգված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դեպքում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ընդհանուր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արոտատարածքը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բաժանվում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հետևյալ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թվով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8-10.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ենթալպյան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10-12.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3)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մարգագետնատափաստանային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հետանտառային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գոտիներում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12-16.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4)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16-20.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5)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կիսաանապատային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չոր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տափաստանային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գոտիներում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 20-40: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16.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առաջինից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մինչև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վերջինը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ըստ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տեղադրվածության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սահմանված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հերթականությամբ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մինչև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ավարտը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հետո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դարձյալ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փոխադրվում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առաջին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սկսվում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հաջորդ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ըստ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հերթականության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17.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Արածեցված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բույսերի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կայուն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վերաճ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ապահովելու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նպատակով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երկրորդ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պետք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սկսել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առաջին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ավարտից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20-25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հետո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հաջորդ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35-40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անց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իսկ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արածեցման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տևողությունը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պետք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կազմի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առաջին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2-3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հաջորդ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բոլորապտույտներում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3-5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ոչ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ավելի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18.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մակատեղերը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գիշերավայրը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պետք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կառուցել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ջրելատեղերից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300-500 մ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հեռավորության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վրա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19.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Ջրելատեղերի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հեռավորությունն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արոտավայրից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պետք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լինի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հետևյալ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հեռավորության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վրա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`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1)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կթու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կովերի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1-1.5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կմ-ից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ոչ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ավելի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.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բտվող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խոշոր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մանր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եղջերավոր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կենդանիների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համար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1.5-2.5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կմ-ից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ոչ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ավելի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20.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Արոտավանդակների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սահմանազատման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նպատակով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որպես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սահմաններ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կարող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ծառայել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արոտատարածքում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առկա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ձորակները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գետակները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հեղեղատները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թեքությունները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բացատները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թփուտները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ճանապարհները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իսկ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դրանց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բացակայության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դեպքում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անհրաժեշտ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օգտագործել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շարժական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ցանկապատեր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որոնցից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առավել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արդյունավետ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էլեկտրացանկապատերը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21.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խոտհարքներն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օգտագործման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տրամադրվում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խոտհնձի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նպատակով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: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Խոտհնձի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լավագույն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ժամկետ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սահմանվում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բուսածածկում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գերակշռող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արժեքավոր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հացազգի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դաշտավլուկազգի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խոտաբույսերի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հասկակալումից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մինչև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ծաղկման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իսկ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թիթեռնածաղկավոր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(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բակլազգի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)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խոտաբույսերի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դեպքում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կոկոնակալումից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մինչև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ծաղկման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փուլն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ընկած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ժամանակաշրջանը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22.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խոտհարքներում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խոտհունձն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իրականացվում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7-10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օրվա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ընթացքում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երբ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բարձրությունը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հողի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մակերեսից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կազմում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4-6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hd w:val="clear" w:color="auto" w:fill="FFFFFF"/>
        <w:jc w:val="both"/>
        <w:rPr>
          <w:rFonts w:ascii="Sylfaen" w:hAnsi="Sylfaen"/>
          <w:color w:val="000000"/>
          <w:sz w:val="21"/>
          <w:szCs w:val="21"/>
        </w:rPr>
      </w:pPr>
      <w:r w:rsidRPr="00586A1B">
        <w:rPr>
          <w:rFonts w:ascii="Sylfaen" w:hAnsi="Sylfaen"/>
          <w:color w:val="000000"/>
          <w:sz w:val="21"/>
          <w:szCs w:val="21"/>
        </w:rPr>
        <w:t xml:space="preserve">23.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խոտհարքներում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յուրաքանչյուր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երրորդ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տարում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խոտհունձն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իրականացվում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է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խոտհնձի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սեզոնի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վերջում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`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բույսերին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սերմնակալման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և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բնական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վերարտադրության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հնարավորություն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ընձեռելու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 w:rsidRPr="00586A1B">
        <w:rPr>
          <w:rFonts w:ascii="Sylfaen" w:hAnsi="Sylfaen"/>
          <w:color w:val="000000"/>
          <w:sz w:val="21"/>
          <w:szCs w:val="21"/>
        </w:rPr>
        <w:t>նպատակով</w:t>
      </w:r>
      <w:proofErr w:type="spellEnd"/>
      <w:r w:rsidRPr="00586A1B">
        <w:rPr>
          <w:rFonts w:ascii="Sylfaen" w:hAnsi="Sylfaen"/>
          <w:color w:val="000000"/>
          <w:sz w:val="21"/>
          <w:szCs w:val="21"/>
        </w:rPr>
        <w:t>:</w:t>
      </w: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586A1B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71789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71789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005DEB" w:rsidRPr="0063141F" w:rsidRDefault="00005DEB" w:rsidP="00FC61B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F12C76" w:rsidRPr="00005DEB" w:rsidRDefault="00F12C76" w:rsidP="00FC61B6">
      <w:pPr>
        <w:spacing w:after="0"/>
        <w:ind w:firstLine="709"/>
        <w:jc w:val="both"/>
        <w:rPr>
          <w:lang w:val="hy-AM"/>
        </w:rPr>
      </w:pPr>
    </w:p>
    <w:sectPr w:rsidR="00F12C76" w:rsidRPr="00005DEB" w:rsidSect="00FC61B6">
      <w:pgSz w:w="11906" w:h="16838" w:code="9"/>
      <w:pgMar w:top="270" w:right="851" w:bottom="1134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2"/>
    <w:rsid w:val="00005DEB"/>
    <w:rsid w:val="000A3582"/>
    <w:rsid w:val="006C0B77"/>
    <w:rsid w:val="008242FF"/>
    <w:rsid w:val="00870751"/>
    <w:rsid w:val="00922C48"/>
    <w:rsid w:val="00B915B7"/>
    <w:rsid w:val="00EA59DF"/>
    <w:rsid w:val="00EE4070"/>
    <w:rsid w:val="00F12C76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6A06A-F9E0-4E4E-B13F-2E5A2A0A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2022-11-21T14:46:00Z</dcterms:created>
  <dcterms:modified xsi:type="dcterms:W3CDTF">2022-11-22T06:38:00Z</dcterms:modified>
</cp:coreProperties>
</file>