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3D" w:rsidRDefault="00EB533D" w:rsidP="00EB533D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EB533D" w:rsidRDefault="00EB533D" w:rsidP="00EB533D">
      <w:pPr>
        <w:pStyle w:val="NormalWeb"/>
        <w:jc w:val="right"/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</w:pPr>
      <w:proofErr w:type="spellStart"/>
      <w:proofErr w:type="gramStart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Հավելված</w:t>
      </w:r>
      <w:proofErr w:type="spellEnd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br/>
      </w:r>
      <w:proofErr w:type="spellStart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Թալին</w:t>
      </w:r>
      <w:proofErr w:type="spellEnd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համայնքի</w:t>
      </w:r>
      <w:proofErr w:type="spellEnd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ավագանու</w:t>
      </w:r>
      <w:proofErr w:type="spellEnd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br/>
        <w:t>2018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թ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>.</w:t>
      </w:r>
      <w:proofErr w:type="gramEnd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փետրվարի</w:t>
      </w:r>
      <w:proofErr w:type="spellEnd"/>
      <w:proofErr w:type="gramEnd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28-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ի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N 16-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Ա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en-US"/>
        </w:rPr>
        <w:t>որոշման</w:t>
      </w:r>
      <w:proofErr w:type="spellEnd"/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 xml:space="preserve">  </w:t>
      </w:r>
    </w:p>
    <w:p w:rsidR="00EB533D" w:rsidRDefault="00EB533D" w:rsidP="00EB533D">
      <w:pPr>
        <w:pStyle w:val="NormalWeb"/>
        <w:jc w:val="right"/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</w:pPr>
    </w:p>
    <w:p w:rsidR="00EB533D" w:rsidRDefault="00EB533D" w:rsidP="00EB533D">
      <w:pPr>
        <w:pStyle w:val="NormalWeb"/>
        <w:jc w:val="right"/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</w:pPr>
    </w:p>
    <w:p w:rsidR="00EB533D" w:rsidRDefault="00EB533D" w:rsidP="00EB533D">
      <w:pPr>
        <w:pStyle w:val="NormalWeb"/>
        <w:jc w:val="left"/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hy-AM"/>
        </w:rPr>
      </w:pP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hy-AM"/>
        </w:rPr>
        <w:t xml:space="preserve">Հայտի կնքված և ստորագրված բնօրինակի պատճենն ուղարկվում է ՀՀ տարածքային կառավարման և զարգացման նախարարություն 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>(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hy-AM"/>
        </w:rPr>
        <w:t>այսուհետ՝ ՏԿԶՆ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fr-FR"/>
        </w:rPr>
        <w:t>)</w:t>
      </w: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hy-AM"/>
        </w:rPr>
        <w:t xml:space="preserve"> էլեկտրոնային փոստով:</w:t>
      </w:r>
    </w:p>
    <w:p w:rsidR="00EB533D" w:rsidRDefault="00EB533D" w:rsidP="00EB533D">
      <w:pPr>
        <w:pStyle w:val="NormalWeb"/>
        <w:jc w:val="center"/>
        <w:rPr>
          <w:rFonts w:ascii="GHEA Grapalat" w:hAnsi="GHEA Grapalat"/>
          <w:b w:val="0"/>
          <w:bCs w:val="0"/>
          <w:i/>
          <w:sz w:val="16"/>
          <w:szCs w:val="16"/>
          <w:lang w:val="hy-AM"/>
        </w:rPr>
      </w:pPr>
      <w:r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hy-AM"/>
        </w:rPr>
        <w:t xml:space="preserve">Բնօրինակը (համակարգչով լրացված) հանձվում է ՏԿԶՆ </w:t>
      </w:r>
      <w:r>
        <w:rPr>
          <w:rFonts w:ascii="GHEA Grapalat" w:hAnsi="GHEA Grapalat"/>
          <w:b w:val="0"/>
          <w:bCs w:val="0"/>
          <w:i/>
          <w:sz w:val="16"/>
          <w:szCs w:val="16"/>
          <w:lang w:val="hy-AM"/>
        </w:rPr>
        <w:t>մինչև 2018 թվականի մարտի 30-ը։</w:t>
      </w:r>
    </w:p>
    <w:p w:rsidR="00EB533D" w:rsidRDefault="00EB533D" w:rsidP="00EB533D">
      <w:pPr>
        <w:pStyle w:val="NormalWeb"/>
        <w:jc w:val="right"/>
        <w:rPr>
          <w:rFonts w:ascii="GHEA Grapalat" w:hAnsi="GHEA Grapalat"/>
          <w:b w:val="0"/>
          <w:bCs w:val="0"/>
          <w:i/>
          <w:color w:val="000000"/>
          <w:sz w:val="16"/>
          <w:szCs w:val="16"/>
          <w:lang w:val="hy-AM"/>
        </w:rPr>
      </w:pPr>
    </w:p>
    <w:p w:rsidR="00EB533D" w:rsidRDefault="00EB533D" w:rsidP="00EB533D">
      <w:pPr>
        <w:tabs>
          <w:tab w:val="left" w:pos="5722"/>
        </w:tabs>
        <w:rPr>
          <w:rFonts w:ascii="GHEA Grapalat" w:hAnsi="GHEA Grapalat"/>
          <w:sz w:val="20"/>
          <w:szCs w:val="20"/>
          <w:highlight w:val="yellow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997"/>
        <w:gridCol w:w="4404"/>
        <w:gridCol w:w="467"/>
      </w:tblGrid>
      <w:tr w:rsidR="00EB533D" w:rsidTr="00EB533D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Cs w:val="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 w:val="0"/>
                <w:sz w:val="20"/>
                <w:szCs w:val="20"/>
                <w:lang w:val="hy-AM"/>
              </w:rPr>
              <w:t>ՏԿԶՆ պաշտոնական օգտագործման համար</w:t>
            </w:r>
          </w:p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Cs w:val="0"/>
                <w:sz w:val="20"/>
                <w:szCs w:val="20"/>
                <w:lang w:val="ru-RU"/>
              </w:rPr>
            </w:pPr>
          </w:p>
        </w:tc>
      </w:tr>
      <w:tr w:rsidR="00EB533D" w:rsidTr="00EB53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ind w:right="7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Սուբվենցիայի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Հայտի գրանցման ամսաթիվը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en-US"/>
              </w:rPr>
              <w:t>06.03.2018թ.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tabs>
                <w:tab w:val="left" w:pos="720"/>
              </w:tabs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Հաշվառման համարը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</w:tr>
      <w:tr w:rsidR="00EB533D" w:rsidRPr="00EB533D" w:rsidTr="00EB53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tabs>
                <w:tab w:val="left" w:pos="72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Սոցիալական ենթակառուցվածքների զարգացման ծրագիր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tabs>
                <w:tab w:val="left" w:pos="720"/>
              </w:tabs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Նախագծա-նախահաշվային փաստաթղթերը կցվում են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</w:tr>
      <w:tr w:rsidR="00EB533D" w:rsidRPr="00EB533D" w:rsidTr="00EB53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ind w:right="72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Տնտեսական զարգացման ծրագիր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en-US"/>
              </w:rPr>
              <w:t>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tabs>
                <w:tab w:val="left" w:pos="720"/>
              </w:tabs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Հայտը պատշաճ կերպով կազմված և ստորագրված 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</w:tr>
      <w:tr w:rsidR="00EB533D" w:rsidRPr="00EB533D" w:rsidTr="00EB53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tabs>
                <w:tab w:val="left" w:pos="720"/>
              </w:tabs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Սարք-սարքավորումների  ձեռք բերման ծրագիր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tabs>
                <w:tab w:val="left" w:pos="720"/>
              </w:tabs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Պահանջվող </w:t>
            </w:r>
            <w:r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այլ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փաստաթղթերը կցված են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center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</w:tr>
      <w:tr w:rsidR="00EB533D" w:rsidRPr="00EB533D" w:rsidTr="00EB533D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3D" w:rsidRDefault="00EB533D">
            <w:pPr>
              <w:ind w:right="72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3D" w:rsidRDefault="00EB533D">
            <w:pPr>
              <w:pStyle w:val="NormalWeb"/>
              <w:jc w:val="left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  <w:p w:rsidR="00EB533D" w:rsidRDefault="00EB533D">
            <w:pPr>
              <w:pStyle w:val="NormalWeb"/>
              <w:jc w:val="left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3D" w:rsidRDefault="00EB533D">
            <w:pPr>
              <w:tabs>
                <w:tab w:val="left" w:pos="720"/>
              </w:tabs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Հայտը համաձայնեցված է համապատասխան մարզպետարանի հետ և համապատասխանում է համայնքի 5 ամյա զարգացման ծրագրին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3D" w:rsidRDefault="00EB533D">
            <w:pPr>
              <w:pStyle w:val="NormalWeb"/>
              <w:jc w:val="left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</w:p>
        </w:tc>
      </w:tr>
    </w:tbl>
    <w:p w:rsidR="00EB533D" w:rsidRDefault="00EB533D" w:rsidP="00EB533D">
      <w:pPr>
        <w:pStyle w:val="NormalWeb"/>
        <w:jc w:val="left"/>
        <w:rPr>
          <w:rFonts w:ascii="GHEA Grapalat" w:hAnsi="GHEA Grapalat"/>
          <w:b w:val="0"/>
          <w:bCs w:val="0"/>
          <w:sz w:val="20"/>
          <w:szCs w:val="20"/>
          <w:lang w:val="hy-AM"/>
        </w:rPr>
      </w:pPr>
    </w:p>
    <w:p w:rsidR="00EB533D" w:rsidRPr="00EB533D" w:rsidRDefault="00EB533D" w:rsidP="00EB533D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533D" w:rsidRDefault="00EB533D" w:rsidP="00EB533D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ՀՀ պետական բյուջեից նպատակային հատկացումներ` սուբվենցիաներ  ստանալու նպատակով 2018 թվականի բյուջետային ֆինանսավորման  ծ</w:t>
      </w:r>
      <w:r>
        <w:rPr>
          <w:rFonts w:ascii="GHEA Grapalat" w:hAnsi="GHEA Grapalat" w:cs="Sylfaen"/>
          <w:b/>
          <w:sz w:val="20"/>
          <w:szCs w:val="20"/>
          <w:lang w:val="hy-AM"/>
        </w:rPr>
        <w:t>րագրային</w:t>
      </w:r>
    </w:p>
    <w:p w:rsidR="00EB533D" w:rsidRDefault="00EB533D" w:rsidP="00EB533D">
      <w:pPr>
        <w:ind w:left="1080" w:right="1260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ՀԱՅՏ</w:t>
      </w:r>
    </w:p>
    <w:p w:rsidR="00EB533D" w:rsidRDefault="00EB533D" w:rsidP="00EB533D">
      <w:pPr>
        <w:spacing w:before="120" w:after="120"/>
        <w:rPr>
          <w:rFonts w:ascii="GHEA Grapalat" w:hAnsi="GHEA Grapalat"/>
          <w:b/>
          <w:sz w:val="20"/>
          <w:szCs w:val="20"/>
          <w:lang w:val="ru-RU"/>
        </w:rPr>
      </w:pP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6688"/>
      </w:tblGrid>
      <w:tr w:rsidR="00EB533D" w:rsidRPr="00EB533D" w:rsidTr="00EB533D">
        <w:trPr>
          <w:trHeight w:val="416"/>
          <w:tblCellSpacing w:w="20" w:type="dxa"/>
        </w:trPr>
        <w:tc>
          <w:tcPr>
            <w:tcW w:w="390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662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      Քաղաքի փողոցների ասֆալտապատման ծրագիր </w:t>
            </w: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br/>
              <w:t>( շարունակություն)</w:t>
            </w:r>
          </w:p>
        </w:tc>
      </w:tr>
      <w:tr w:rsidR="00EB533D" w:rsidTr="00EB533D">
        <w:trPr>
          <w:trHeight w:val="416"/>
          <w:tblCellSpacing w:w="20" w:type="dxa"/>
        </w:trPr>
        <w:tc>
          <w:tcPr>
            <w:tcW w:w="390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662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Արագածոտն </w:t>
            </w:r>
          </w:p>
        </w:tc>
      </w:tr>
      <w:tr w:rsid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Համայնքը /համայնքները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Թալին</w:t>
            </w:r>
          </w:p>
        </w:tc>
      </w:tr>
      <w:tr w:rsid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Համայնքի  2018 թվականի բյուջեն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152952 100 </w:t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ՀՀ դրամ </w:t>
            </w:r>
          </w:p>
        </w:tc>
      </w:tr>
      <w:tr w:rsidR="00EB533D" w:rsidTr="00EB533D">
        <w:trPr>
          <w:trHeight w:val="3574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Բյուջետային ծախսերի գործառնական դասակարգման բաժնի, խմբի և դասի անվանումն ու համարը, որին դասվում է ծրագիրը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Բաժին</w:t>
            </w:r>
            <w:proofErr w:type="spellEnd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04 </w:t>
            </w:r>
            <w:proofErr w:type="spellStart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խումբ</w:t>
            </w:r>
            <w:proofErr w:type="spellEnd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05 </w:t>
            </w:r>
            <w:proofErr w:type="spellStart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դաս</w:t>
            </w:r>
            <w:proofErr w:type="spellEnd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01 </w:t>
            </w:r>
            <w:proofErr w:type="spellStart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տող</w:t>
            </w:r>
            <w:proofErr w:type="spellEnd"/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2450</w:t>
            </w:r>
          </w:p>
        </w:tc>
      </w:tr>
      <w:tr w:rsidR="00EB533D" w:rsidRPr="00EB533D" w:rsidTr="00EB533D">
        <w:trPr>
          <w:trHeight w:val="2107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Թալին համայնքի Սայաթ-Նովա փողոցի և հատվող Տերյան -2 նրբանցքի ասֆալտապատում : Համայնքի Սայաթ-Նովա փողոցով համայնք այցելող հյուրերը և զբոսաշրջիկները այցելում  են VII –րդ դարի Կաթողիկե եկեղեցիները: 2013-2017 թվականների համայնքի բյուջեի և ՀՀ կառավարության հրատապ  ծրագրերով  կատարվել  է 700  գծամետրի  ասֆալտապատումը :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Ծրագրով նախատեսում ենք մնացած 280 գծամետրի և Տերյան 2-րդ նրբանցքի 225 գծամետր հատվածի ասֆալտապատումը 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Ասֆալտապատումը  հնարավորություն  կստեղծի բարեկարգ ճանապարհ ապահովել հարակից տների բնակիչների և համայնքի բնակիչների համար , ովքեր այցելում են եկեղեցիներ և ճանապարհը  միանում է հյուսիս –հարավ ճանապարհին տարանցիկ հատվածին , որը կնպաստի շուկաների ներգրավմանը : Նշված փողոցները ընդհանրապես զուրկ են ասֆալտից , որը դժվարացնում է հյուրերի , զբոսաշրջիկների , բնակիչների և երեխաների տեղաշարժը :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 իրականացման  նպատակը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pStyle w:val="NormalWeb"/>
              <w:spacing w:after="120"/>
              <w:jc w:val="left"/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Ծրագրի իրականացման արդյունքում կբարելավվի  քաղաքացիների տեղաշարժը ,կլինի ավելի հեշտ մեքենաների անցումը , որը թույլ կտա բեռնաթափել գլխավոր փողոցի երթևեկությունը , ավելի արագ և բազմաբովանդակ կանցնի  զբոսաշրջիկների այցերը :</w:t>
            </w: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ակնկալվող արդյունքները, որոնց միջոցով պետք է հասնել ծրագրի իրա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կանացման նպատակին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Կենտրոնական 13կմ երկարությամբ փողոցներում անվտանգ երթևեկության ապահովում , համայնքային ճանապարհային ենթակառուցվածքների պահպանություն և շահագործում :</w:t>
            </w: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յուրաքանչյուր արդյունքի հասնելու համար անհրաժեշտ միջոցառումները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ind w:firstLine="360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Նախագծահաշվային փաստաթղթերի կազմում  Կապալառու կազմակերպությունների ընտրւթյան մրցույթի կազմակերպում և պայմանագրերի կնքում :</w:t>
            </w:r>
            <w:r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br/>
              <w:t xml:space="preserve">տեխնիկական հսկողություն իրականացնող կազմակերպության մրցույթի կազմակերպում և պայմանագրի կնքում : </w:t>
            </w: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Ծրագրավորված աշխատանքի հաջող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իրականցման գնահատման չափանիշները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lastRenderedPageBreak/>
              <w:t xml:space="preserve">Կատարված աշխատանքների կատարողականի կազմում և </w:t>
            </w:r>
            <w:r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lastRenderedPageBreak/>
              <w:t xml:space="preserve">գնահատում տեխհսկողություն իրականացնող կազմակերպության կողմից :  </w:t>
            </w: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ազդեցությունը  շահառուների վրա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3D" w:rsidRDefault="00EB53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Շահառուների թիվը կազմում է մոտ 3000 մարդ , որոնցից մոտ 90 ընտանիք հարակից բնակիչներ , համայնքի բնակիչներ ,զբոսաշըր- ջիկներ  և հյուրեր են :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Ծրագիրը հարակից բնակիչներին հնարավորություն կստեղծի իրենց սեփական արտադրանքը / էկոլոգիապես մաքուր / ցուցադրել , վաճառել  բազմաթիվ  այցելուների համար :</w:t>
            </w:r>
          </w:p>
          <w:p w:rsidR="00EB533D" w:rsidRDefault="00EB533D">
            <w:pPr>
              <w:spacing w:before="6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ընթացքում և արդյունքում ստեղծվող հիմնական աշխատատեղեր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Աշխատատեղեր լինելու է ծրագրի իրականացման ժամանակ մոտ 10-12  աշխատատեղ կապված տևողությունից կակտիվանա մասնավոր բիզնեսը : </w:t>
            </w: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սպասվող միջնաժամկետ և երկարաժամկետ արդյունքները 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 արդյունքում բնակիչների ապրելակերպը կբարելավվի , կլուծվի բնապահպանական խնդիրը  ` օդի աղտոտվածությունը կպակասի , փոշին կպակասի , կմեծանա  քաղաքի այցելուների թիվը :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/>
              <w:t xml:space="preserve">2-5 տարի հետո  կզարգանա զբոսաշրջությունը , կավելանա  տնակ-հյուրատների պահանջարկը :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br/>
            </w:r>
          </w:p>
        </w:tc>
      </w:tr>
      <w:tr w:rsidR="00EB533D" w:rsidRPr="00EB533D" w:rsidTr="00EB533D">
        <w:trPr>
          <w:trHeight w:val="2503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2018 թվականի բյուջեի նախագծով կանխատեսվող բյուջետային մուտ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քե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րի (ներառյալ ֆինանսական համահարթեցման դոտացիայի գծով 2018 թվականի կան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խա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3D" w:rsidRDefault="00EB53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2018թ. բյուջեով ծրագիրը չի կարող իրականացվել,  քանի որ այդ հնարավորությունը բյուջեն չունի :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Բյուջեով կան ամենամյա ծրագրեր , որոնք մեծ ծախս են համարվում բյուջեի համար  / մանկապարտեզներ , մշակույթի տուն , գեղարվեստի դպրոց , երաժշտական դպրոց , մարզադպրոց / : </w:t>
            </w:r>
          </w:p>
          <w:p w:rsidR="00EB533D" w:rsidRDefault="00EB533D">
            <w:pPr>
              <w:rPr>
                <w:rFonts w:ascii="GHEA Grapalat" w:hAnsi="GHEA Grapalat"/>
                <w:lang w:val="hy-AM"/>
              </w:rPr>
            </w:pPr>
          </w:p>
          <w:p w:rsidR="00EB533D" w:rsidRDefault="00EB533D">
            <w:pPr>
              <w:spacing w:before="60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ընդհանուր բյուջեն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sz w:val="18"/>
                <w:szCs w:val="18"/>
              </w:rPr>
              <w:t xml:space="preserve"> 31535100</w:t>
            </w:r>
            <w:r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ՀՀ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>դրամ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 (</w:t>
            </w:r>
            <w:proofErr w:type="gramEnd"/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100%)</w:t>
            </w:r>
          </w:p>
        </w:tc>
      </w:tr>
      <w:tr w:rsid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 կողմից ներդրվող մասնաբաժնի չափը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12614040 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ՀՀ </w:t>
            </w:r>
            <w:proofErr w:type="gramStart"/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դրամ </w:t>
            </w: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GHEA Grapalat" w:hAnsi="GHEA Grapalat"/>
                <w:i/>
                <w:iCs/>
                <w:sz w:val="18"/>
                <w:szCs w:val="18"/>
              </w:rPr>
              <w:t>40%)</w:t>
            </w:r>
            <w:r>
              <w:rPr>
                <w:rFonts w:ascii="GHEA Grapalat" w:hAnsi="GHEA Grapalat"/>
                <w:i/>
                <w:iCs/>
                <w:sz w:val="18"/>
                <w:szCs w:val="18"/>
              </w:rPr>
              <w:br/>
            </w:r>
          </w:p>
        </w:tc>
      </w:tr>
      <w:tr w:rsidR="00EB533D" w:rsidRPr="00EB533D" w:rsidTr="00EB533D">
        <w:trPr>
          <w:trHeight w:val="379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ներդրողներ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160000 ՀՀ դրամ ՀՀ դրամ  (0.5  %),</w:t>
            </w:r>
            <w:r w:rsidRPr="00EB533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&lt;&lt;Թալին և ընկերներ  &gt;&gt;զարգացման հիմնադրամ </w:t>
            </w:r>
          </w:p>
        </w:tc>
      </w:tr>
      <w:tr w:rsidR="00EB533D" w:rsidTr="00EB533D">
        <w:trPr>
          <w:trHeight w:val="510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տևողությունը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Cambria Math" w:hAnsi="Cambria Math"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Ակիզբ` 01.04.2018թ.                              Տևողությունը՝ </w:t>
            </w: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GHEA Grapalat" w:hAnsi="GHEA Grapalat"/>
                <w:i/>
                <w:iCs/>
                <w:sz w:val="18"/>
                <w:szCs w:val="18"/>
              </w:rPr>
              <w:t>ամիս</w:t>
            </w:r>
            <w:proofErr w:type="spellEnd"/>
            <w:r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B533D" w:rsidRPr="00EB533D" w:rsidTr="00EB533D">
        <w:trPr>
          <w:trHeight w:val="433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ծախսերը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3D" w:rsidRDefault="00EB533D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Ծախսերն իրականացվելու են այդ նպատակով համայնքի կողմից նախագծանախահաշվային փաստաթղթերի կազմման նպատակով հայտարարված մրցույթով ընտրված կազմակերպության կողմից , որի մեջ  ներառվելու են կատարվող աշխատանքների համար նախատեսված բոլոր ծախսերը : </w:t>
            </w:r>
          </w:p>
          <w:p w:rsidR="00EB533D" w:rsidRDefault="00EB533D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  <w:p w:rsidR="00EB533D" w:rsidRDefault="00EB533D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EB533D" w:rsidTr="00EB533D">
        <w:trPr>
          <w:trHeight w:val="510"/>
          <w:tblCellSpacing w:w="2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D9D9D9"/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662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EB533D" w:rsidRDefault="00EB533D">
            <w:pPr>
              <w:spacing w:before="60"/>
              <w:rPr>
                <w:rFonts w:ascii="GHEA Grapalat" w:hAnsi="GHEA Grapalat"/>
                <w:bCs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“_</w:t>
            </w:r>
            <w:r>
              <w:rPr>
                <w:rFonts w:ascii="GHEA Grapalat" w:hAnsi="GHEA Grapalat"/>
                <w:sz w:val="20"/>
                <w:szCs w:val="20"/>
                <w:u w:val="single"/>
              </w:rPr>
              <w:t>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”</w:t>
            </w:r>
            <w:proofErr w:type="spellStart"/>
            <w:r>
              <w:rPr>
                <w:rFonts w:ascii="GHEA Grapalat" w:hAnsi="GHEA Grapalat"/>
                <w:sz w:val="20"/>
                <w:szCs w:val="20"/>
                <w:u w:val="single"/>
              </w:rPr>
              <w:t>մարտի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  <w:szCs w:val="20"/>
                <w:u w:val="single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</w:tbl>
    <w:p w:rsidR="00EB533D" w:rsidRDefault="00EB533D" w:rsidP="00EB533D">
      <w:pPr>
        <w:rPr>
          <w:rFonts w:ascii="GHEA Grapalat" w:hAnsi="GHEA Grapalat"/>
          <w:sz w:val="20"/>
          <w:szCs w:val="20"/>
          <w:lang w:val="hy-AM"/>
        </w:rPr>
      </w:pPr>
    </w:p>
    <w:p w:rsidR="00EB533D" w:rsidRDefault="00EB533D" w:rsidP="00EB533D">
      <w:pPr>
        <w:rPr>
          <w:rFonts w:ascii="GHEA Grapalat" w:hAnsi="GHEA Grapalat"/>
          <w:sz w:val="20"/>
          <w:szCs w:val="20"/>
          <w:lang w:val="hy-AM"/>
        </w:rPr>
      </w:pPr>
    </w:p>
    <w:p w:rsidR="00EB533D" w:rsidRDefault="00EB533D" w:rsidP="00EB533D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ab/>
        <w:t xml:space="preserve">Այլ տեղեկություններ ծրագրի մասին. </w:t>
      </w:r>
      <w:r>
        <w:rPr>
          <w:rFonts w:ascii="GHEA Grapalat" w:hAnsi="GHEA Grapalat"/>
          <w:i/>
          <w:sz w:val="20"/>
          <w:szCs w:val="20"/>
          <w:lang w:val="hy-AM"/>
        </w:rPr>
        <w:t>(Նշել  այն լրացուցիչ հանգամանքները, որոնք կարող են ցույց տալ ծրագրի կարևորությունը, ակնկալվող արդյունքների ազդեցությունը  համայնքի և տարածաշրջանի զարգացման վրա, այլ հանգամանքներ, որոնք կարող են հաշվի առնվել ծրագիրը գնահատելու ընթացքում):</w:t>
      </w:r>
    </w:p>
    <w:p w:rsidR="00EB533D" w:rsidRDefault="00EB533D" w:rsidP="00EB533D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B533D" w:rsidRDefault="00EB533D" w:rsidP="00EB533D">
      <w:pPr>
        <w:rPr>
          <w:rFonts w:ascii="GHEA Grapalat" w:hAnsi="GHEA Grapalat"/>
          <w:i/>
          <w:sz w:val="20"/>
          <w:szCs w:val="20"/>
          <w:lang w:val="hy-AM"/>
        </w:rPr>
      </w:pPr>
    </w:p>
    <w:p w:rsidR="00EB533D" w:rsidRPr="00EB533D" w:rsidRDefault="00EB533D" w:rsidP="00EB533D">
      <w:pPr>
        <w:rPr>
          <w:rFonts w:ascii="GHEA Grapalat" w:hAnsi="GHEA Grapalat"/>
          <w:i/>
          <w:sz w:val="20"/>
          <w:szCs w:val="20"/>
          <w:lang w:val="hy-AM"/>
        </w:rPr>
      </w:pPr>
    </w:p>
    <w:p w:rsidR="00EB533D" w:rsidRPr="00EB533D" w:rsidRDefault="00EB533D" w:rsidP="00EB533D">
      <w:pPr>
        <w:rPr>
          <w:rFonts w:ascii="GHEA Grapalat" w:hAnsi="GHEA Grapalat"/>
          <w:i/>
          <w:sz w:val="20"/>
          <w:szCs w:val="20"/>
          <w:lang w:val="hy-AM"/>
        </w:rPr>
      </w:pPr>
    </w:p>
    <w:p w:rsidR="00EB533D" w:rsidRPr="00EB533D" w:rsidRDefault="00EB533D" w:rsidP="00EB533D">
      <w:pPr>
        <w:rPr>
          <w:rFonts w:ascii="GHEA Grapalat" w:hAnsi="GHEA Grapalat"/>
          <w:i/>
          <w:sz w:val="20"/>
          <w:szCs w:val="20"/>
          <w:lang w:val="hy-AM"/>
        </w:rPr>
      </w:pPr>
    </w:p>
    <w:p w:rsidR="00EB533D" w:rsidRPr="00EB533D" w:rsidRDefault="00EB533D" w:rsidP="00EB533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EB533D">
        <w:rPr>
          <w:rFonts w:ascii="GHEA Grapalat" w:hAnsi="GHEA Grapalat"/>
          <w:sz w:val="20"/>
          <w:szCs w:val="20"/>
          <w:u w:val="single"/>
          <w:lang w:val="hy-AM"/>
        </w:rPr>
        <w:t>ԹԱԼԻՆ  ՀԱՄԱՅՆՔԻ ՂԵԿԱՎԱՐ</w:t>
      </w:r>
      <w:r w:rsidRPr="00EB533D">
        <w:rPr>
          <w:rFonts w:ascii="GHEA Grapalat" w:hAnsi="GHEA Grapalat"/>
          <w:sz w:val="20"/>
          <w:szCs w:val="20"/>
          <w:lang w:val="hy-AM"/>
        </w:rPr>
        <w:t xml:space="preserve"> `                                   </w:t>
      </w:r>
      <w:r w:rsidRPr="00EB533D">
        <w:rPr>
          <w:rFonts w:ascii="GHEA Grapalat" w:hAnsi="GHEA Grapalat"/>
          <w:sz w:val="20"/>
          <w:szCs w:val="20"/>
          <w:u w:val="single"/>
          <w:lang w:val="hy-AM"/>
        </w:rPr>
        <w:t>ՍԱՐԳԻՍ ԱՐԱՄՅԱՆ</w:t>
      </w:r>
    </w:p>
    <w:p w:rsidR="00EB533D" w:rsidRPr="00EB533D" w:rsidRDefault="00EB533D" w:rsidP="00EB533D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EB533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</w:t>
      </w:r>
      <w:r w:rsidRPr="00EB533D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EB533D" w:rsidRDefault="00EB533D" w:rsidP="00EB533D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ab/>
      </w:r>
    </w:p>
    <w:p w:rsidR="00EB533D" w:rsidRPr="00EB533D" w:rsidRDefault="00EB533D" w:rsidP="00EB533D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ab/>
      </w:r>
      <w:r w:rsidRPr="00EB533D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i/>
          <w:sz w:val="20"/>
          <w:szCs w:val="20"/>
          <w:lang w:val="hy-AM"/>
        </w:rPr>
        <w:br/>
        <w:t xml:space="preserve">ԿՏ. </w:t>
      </w:r>
    </w:p>
    <w:p w:rsidR="00EB533D" w:rsidRPr="00EB533D" w:rsidRDefault="00EB533D" w:rsidP="00EB533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533D" w:rsidRDefault="00EB533D" w:rsidP="00EB533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533D" w:rsidRDefault="00EB533D" w:rsidP="00EB533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533D" w:rsidRDefault="00EB533D" w:rsidP="00EB533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533D" w:rsidRDefault="00EB533D" w:rsidP="00EB533D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B533D" w:rsidRDefault="00EB533D" w:rsidP="00EB533D">
      <w:pPr>
        <w:tabs>
          <w:tab w:val="center" w:pos="4815"/>
          <w:tab w:val="left" w:pos="7890"/>
          <w:tab w:val="left" w:pos="8339"/>
        </w:tabs>
        <w:spacing w:line="360" w:lineRule="auto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EB533D" w:rsidRDefault="00EB533D" w:rsidP="00EB533D">
      <w:pPr>
        <w:pStyle w:val="NormalWeb"/>
        <w:spacing w:before="100" w:beforeAutospacing="1" w:after="100" w:afterAutospacing="1" w:line="480" w:lineRule="auto"/>
        <w:jc w:val="center"/>
        <w:rPr>
          <w:rFonts w:ascii="Arial Unicode" w:hAnsi="Arial Unicode"/>
          <w:b w:val="0"/>
          <w:lang w:val="fr-FR" w:eastAsia="ru-RU"/>
        </w:rPr>
      </w:pPr>
    </w:p>
    <w:p w:rsidR="00EB533D" w:rsidRDefault="00EB533D" w:rsidP="00EB533D">
      <w:pPr>
        <w:pStyle w:val="NormalWeb"/>
        <w:spacing w:before="100" w:beforeAutospacing="1" w:after="100" w:afterAutospacing="1" w:line="480" w:lineRule="auto"/>
        <w:rPr>
          <w:rFonts w:ascii="Arial Unicode" w:hAnsi="Arial Unicode"/>
          <w:b w:val="0"/>
          <w:lang w:val="fr-FR" w:eastAsia="ru-RU"/>
        </w:rPr>
      </w:pPr>
    </w:p>
    <w:p w:rsidR="00EB533D" w:rsidRDefault="00EB533D" w:rsidP="00EB533D">
      <w:pPr>
        <w:pStyle w:val="NormalWeb"/>
        <w:spacing w:before="100" w:beforeAutospacing="1" w:after="100" w:afterAutospacing="1" w:line="480" w:lineRule="auto"/>
        <w:rPr>
          <w:rFonts w:ascii="Arial Unicode" w:hAnsi="Arial Unicode"/>
          <w:b w:val="0"/>
          <w:lang w:val="fr-FR" w:eastAsia="ru-RU"/>
        </w:rPr>
      </w:pPr>
    </w:p>
    <w:p w:rsidR="00EB533D" w:rsidRDefault="00EB533D" w:rsidP="00EB533D">
      <w:pPr>
        <w:pStyle w:val="NormalWeb"/>
        <w:spacing w:before="100" w:beforeAutospacing="1" w:after="100" w:afterAutospacing="1" w:line="480" w:lineRule="auto"/>
        <w:rPr>
          <w:rFonts w:ascii="Arial Unicode" w:hAnsi="Arial Unicode"/>
          <w:b w:val="0"/>
          <w:lang w:val="fr-FR" w:eastAsia="ru-RU"/>
        </w:rPr>
      </w:pPr>
    </w:p>
    <w:p w:rsidR="00EB533D" w:rsidRDefault="00EB533D" w:rsidP="00EB533D">
      <w:pPr>
        <w:pStyle w:val="NormalWeb"/>
        <w:spacing w:before="100" w:beforeAutospacing="1" w:after="100" w:afterAutospacing="1" w:line="276" w:lineRule="auto"/>
        <w:rPr>
          <w:rFonts w:ascii="Arial Unicode" w:hAnsi="Arial Unicode"/>
          <w:b w:val="0"/>
          <w:lang w:val="fr-FR" w:eastAsia="ru-RU"/>
        </w:rPr>
      </w:pPr>
    </w:p>
    <w:p w:rsidR="00EB533D" w:rsidRDefault="00EB533D" w:rsidP="00EB533D">
      <w:pPr>
        <w:pStyle w:val="NormalWeb"/>
        <w:spacing w:before="100" w:beforeAutospacing="1" w:after="100" w:afterAutospacing="1" w:line="276" w:lineRule="auto"/>
        <w:rPr>
          <w:rFonts w:ascii="Arial Unicode" w:hAnsi="Arial Unicode"/>
          <w:b w:val="0"/>
          <w:lang w:val="fr-FR" w:eastAsia="ru-RU"/>
        </w:rPr>
      </w:pPr>
    </w:p>
    <w:p w:rsidR="00EB533D" w:rsidRDefault="00EB533D" w:rsidP="00EB533D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Arial Unicode" w:eastAsiaTheme="minorHAnsi" w:hAnsi="Arial Unicode" w:cs="Sylfaen"/>
          <w:bCs/>
          <w:sz w:val="18"/>
          <w:szCs w:val="18"/>
          <w:lang w:val="fr-FR"/>
        </w:rPr>
      </w:pPr>
    </w:p>
    <w:p w:rsidR="00B90172" w:rsidRPr="00EB533D" w:rsidRDefault="00B90172">
      <w:pPr>
        <w:rPr>
          <w:lang w:val="fr-FR"/>
        </w:rPr>
      </w:pPr>
      <w:bookmarkStart w:id="0" w:name="_GoBack"/>
      <w:bookmarkEnd w:id="0"/>
    </w:p>
    <w:sectPr w:rsidR="00B90172" w:rsidRPr="00E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3D"/>
    <w:rsid w:val="00B90172"/>
    <w:rsid w:val="00E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3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B533D"/>
    <w:pPr>
      <w:spacing w:after="0" w:line="240" w:lineRule="auto"/>
      <w:contextualSpacing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3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B533D"/>
    <w:pPr>
      <w:spacing w:after="0" w:line="240" w:lineRule="auto"/>
      <w:contextualSpacing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4680</Characters>
  <Application>Microsoft Office Word</Application>
  <DocSecurity>0</DocSecurity>
  <Lines>39</Lines>
  <Paragraphs>10</Paragraphs>
  <ScaleCrop>false</ScaleCrop>
  <Company>DNS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2018-05-04T08:02:00Z</dcterms:created>
  <dcterms:modified xsi:type="dcterms:W3CDTF">2018-05-04T08:03:00Z</dcterms:modified>
</cp:coreProperties>
</file>